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440001-2024-08888</w:t>
      </w:r>
    </w:p>
    <w:p>
      <w:pPr>
        <w:pStyle w:val="null3"/>
        <w:jc w:val="center"/>
        <w:outlineLvl w:val="3"/>
      </w:pPr>
      <w:r>
        <w:rPr>
          <w:b/>
          <w:sz w:val="24"/>
        </w:rPr>
        <w:t>采购项目编号：</w:t>
      </w:r>
      <w:r>
        <w:rPr>
          <w:b/>
          <w:sz w:val="24"/>
        </w:rPr>
        <w:t>YFZC24FC0015</w:t>
      </w:r>
    </w:p>
    <w:p>
      <w:pPr>
        <w:pStyle w:val="null3"/>
        <w:jc w:val="center"/>
        <w:outlineLvl w:val="3"/>
      </w:pPr>
      <w:r>
        <w:rPr>
          <w:b/>
          <w:sz w:val="24"/>
        </w:rPr>
        <w:t>项目名称：</w:t>
      </w:r>
      <w:r>
        <w:rPr>
          <w:b/>
          <w:sz w:val="24"/>
        </w:rPr>
        <w:t>广东省云浮林场2024年大径材培育示范林建设项目</w:t>
      </w:r>
    </w:p>
    <w:p>
      <w:pPr>
        <w:pStyle w:val="null3"/>
        <w:jc w:val="center"/>
        <w:outlineLvl w:val="3"/>
      </w:pPr>
      <w:r>
        <w:rPr>
          <w:b/>
          <w:sz w:val="24"/>
        </w:rPr>
        <w:t>采购人：</w:t>
      </w:r>
      <w:r>
        <w:rPr>
          <w:b/>
          <w:sz w:val="24"/>
        </w:rPr>
        <w:t>广东省云浮林场</w:t>
      </w:r>
    </w:p>
    <w:p>
      <w:pPr>
        <w:pStyle w:val="null3"/>
        <w:jc w:val="center"/>
        <w:outlineLvl w:val="3"/>
      </w:pPr>
      <w:r>
        <w:rPr>
          <w:b/>
          <w:sz w:val="24"/>
        </w:rPr>
        <w:t>采购代理机构：</w:t>
      </w:r>
      <w:r>
        <w:rPr>
          <w:b/>
          <w:sz w:val="24"/>
        </w:rPr>
        <w:t>云浮市中策招标咨询服务有限公司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云浮市中策招标咨询服务有限公司</w:t>
      </w:r>
      <w:r>
        <w:rPr/>
        <w:t>受</w:t>
      </w:r>
      <w:r>
        <w:rPr/>
        <w:t>广东省云浮林场</w:t>
      </w:r>
      <w:r>
        <w:rPr/>
        <w:t>的委托，采用</w:t>
      </w:r>
      <w:r>
        <w:rPr/>
        <w:t>竞争性磋商</w:t>
      </w:r>
      <w:r>
        <w:rPr/>
        <w:t>方式组织采购</w:t>
      </w:r>
      <w:r>
        <w:rPr/>
        <w:t>广东省云浮林场2024年大径材培育示范林建设项目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广东省云浮林场2024年大径材培育示范林建设项目</w:t>
      </w:r>
    </w:p>
    <w:p>
      <w:pPr>
        <w:pStyle w:val="null3"/>
        <w:ind w:firstLine="480"/>
      </w:pPr>
      <w:r>
        <w:rPr/>
        <w:t>采购计划编号：</w:t>
      </w:r>
      <w:r>
        <w:rPr/>
        <w:t>440001-2024-08888</w:t>
      </w:r>
    </w:p>
    <w:p>
      <w:pPr>
        <w:pStyle w:val="null3"/>
        <w:ind w:firstLine="480"/>
      </w:pPr>
      <w:r>
        <w:rPr/>
        <w:t>采购项目编号：</w:t>
      </w:r>
      <w:r>
        <w:rPr/>
        <w:t>YFZC24FC0015</w:t>
      </w:r>
    </w:p>
    <w:p>
      <w:pPr>
        <w:pStyle w:val="null3"/>
        <w:ind w:firstLine="480"/>
      </w:pPr>
      <w:r>
        <w:rPr/>
        <w:t>采购方式：</w:t>
      </w:r>
      <w:r>
        <w:rPr/>
        <w:t>竞争性磋商</w:t>
      </w:r>
    </w:p>
    <w:p>
      <w:pPr>
        <w:pStyle w:val="null3"/>
        <w:ind w:firstLine="480"/>
      </w:pPr>
      <w:r>
        <w:rPr/>
        <w:t>预算金额：</w:t>
      </w:r>
      <w:r>
        <w:rPr/>
        <w:t>2,900,000.00</w:t>
      </w:r>
      <w:r>
        <w:rPr/>
        <w:t>元</w:t>
      </w:r>
    </w:p>
    <w:p>
      <w:pPr>
        <w:pStyle w:val="null3"/>
        <w:outlineLvl w:val="3"/>
      </w:pPr>
      <w:r>
        <w:rPr>
          <w:b/>
          <w:sz w:val="24"/>
        </w:rPr>
        <w:t>2.项目内容及需求情况（采购项目技术规格、参数及要求）</w:t>
      </w:r>
    </w:p>
    <w:p>
      <w:pPr>
        <w:pStyle w:val="null3"/>
      </w:pPr>
    </w:p>
    <w:p>
      <w:pPr>
        <w:pStyle w:val="null3"/>
      </w:pPr>
      <w:r>
        <w:rPr/>
        <w:t>采购包1(广东省云浮林场2024年大径材培育示范林建设项目):</w:t>
      </w:r>
    </w:p>
    <w:p>
      <w:pPr>
        <w:pStyle w:val="null3"/>
      </w:pPr>
      <w:r>
        <w:rPr/>
        <w:t>采购包预算金额：2,900,000.00元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林木抚育管理服务</w:t>
            </w:r>
          </w:p>
        </w:tc>
        <w:tc>
          <w:tcPr>
            <w:tcW w:type="dxa" w:w="2052"/>
          </w:tcPr>
          <w:p>
            <w:pPr>
              <w:pStyle w:val="null3"/>
            </w:pPr>
            <w:r>
              <w:rPr/>
              <w:t>广东省云浮林场2024年大径材培育示范林建设项目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合同履行期限：2024年9月25日前完成本项目</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1）具有独立承担民事责任的能力：提供法人或者其他组织的营业执照等证明文件复印件。</w:t>
      </w:r>
    </w:p>
    <w:p>
      <w:pPr>
        <w:pStyle w:val="null3"/>
      </w:pPr>
    </w:p>
    <w:p>
      <w:pPr>
        <w:pStyle w:val="null3"/>
      </w:pPr>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Pr>
        <w:pStyle w:val="null3"/>
      </w:pPr>
    </w:p>
    <w:p>
      <w:pPr>
        <w:pStyle w:val="null3"/>
      </w:pPr>
      <w:r>
        <w:rPr/>
        <w:t>3）履行合同所必需的设备和专业技术能力：在响应文件中提供声明函。</w:t>
      </w:r>
    </w:p>
    <w:p>
      <w:pPr>
        <w:pStyle w:val="null3"/>
      </w:pPr>
    </w:p>
    <w:p>
      <w:pPr>
        <w:pStyle w:val="null3"/>
      </w:pPr>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Pr>
        <w:pStyle w:val="null3"/>
      </w:pPr>
    </w:p>
    <w:p>
      <w:pPr>
        <w:pStyle w:val="null3"/>
      </w:pPr>
      <w:r>
        <w:rPr/>
        <w:t>5）参加采购活动前3年内，在经营活动中没有重大违法记录：在响应文件中提供声明函。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采购包1（广东省云浮林场2024年大径材培育示范林建设项目）：</w:t>
      </w:r>
      <w:r>
        <w:rPr/>
        <w:t>参与的供应商服务全部由符合政策要求的中小企业承接。</w:t>
      </w:r>
    </w:p>
    <w:p>
      <w:pPr>
        <w:pStyle w:val="null3"/>
        <w:outlineLvl w:val="3"/>
      </w:pPr>
      <w:r>
        <w:rPr>
          <w:b/>
          <w:sz w:val="24"/>
        </w:rPr>
        <w:t>3.本项目特定的资格要求：</w:t>
      </w:r>
    </w:p>
    <w:p>
      <w:pPr>
        <w:pStyle w:val="null3"/>
      </w:pPr>
    </w:p>
    <w:p>
      <w:pPr>
        <w:pStyle w:val="null3"/>
      </w:pPr>
      <w:r>
        <w:rPr/>
        <w:t>采购包1（广东省云浮林场2024年大径材培育示范林建设项目）：</w:t>
      </w:r>
    </w:p>
    <w:p>
      <w:pPr>
        <w:pStyle w:val="null3"/>
      </w:pPr>
    </w:p>
    <w:p>
      <w:pPr>
        <w:pStyle w:val="null3"/>
      </w:pPr>
      <w:r>
        <w:rPr/>
        <w:t>1)（1）供应商须具备法律、行政法规规定的其他条件：在响应文件中提供声明函。 （2）供应商须具有有效的造林绿化施工单位丙级（含丙级）以上资质证书，提供证书复印件并加盖供应商公章。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广东省云浮林场</w:t>
      </w:r>
    </w:p>
    <w:p>
      <w:pPr>
        <w:pStyle w:val="null3"/>
        <w:ind w:firstLine="480"/>
      </w:pPr>
      <w:r>
        <w:rPr/>
        <w:t>地址：</w:t>
      </w:r>
      <w:r>
        <w:rPr/>
        <w:t>广东省新兴县新城镇城西路一号</w:t>
      </w:r>
    </w:p>
    <w:p>
      <w:pPr>
        <w:pStyle w:val="null3"/>
        <w:ind w:firstLine="480"/>
      </w:pPr>
      <w:r>
        <w:rPr/>
        <w:t>联系方式：</w:t>
      </w:r>
      <w:r>
        <w:rPr/>
        <w:t>张小姐 0766-2885192</w:t>
      </w:r>
    </w:p>
    <w:p>
      <w:pPr>
        <w:pStyle w:val="null3"/>
        <w:outlineLvl w:val="3"/>
      </w:pPr>
      <w:r>
        <w:rPr>
          <w:b/>
          <w:sz w:val="24"/>
        </w:rPr>
        <w:t>2.采购代理机构信息</w:t>
      </w:r>
    </w:p>
    <w:p>
      <w:pPr>
        <w:pStyle w:val="null3"/>
        <w:ind w:firstLine="480"/>
      </w:pPr>
      <w:r>
        <w:rPr/>
        <w:t>名称：</w:t>
      </w:r>
      <w:r>
        <w:rPr/>
        <w:t>云浮市中策招标咨询服务有限公司</w:t>
      </w:r>
    </w:p>
    <w:p>
      <w:pPr>
        <w:pStyle w:val="null3"/>
        <w:ind w:firstLine="480"/>
      </w:pPr>
      <w:r>
        <w:rPr/>
        <w:t>地址：</w:t>
      </w:r>
      <w:r>
        <w:rPr/>
        <w:t>新兴县新城镇新洲大道南69号（城北商住区东区）第二层201室</w:t>
      </w:r>
    </w:p>
    <w:p>
      <w:pPr>
        <w:pStyle w:val="null3"/>
        <w:ind w:firstLine="480"/>
      </w:pPr>
      <w:r>
        <w:rPr/>
        <w:t>联系方式：</w:t>
      </w:r>
      <w:r>
        <w:rPr/>
        <w:t>简先生 0766-2922133</w:t>
      </w:r>
    </w:p>
    <w:p>
      <w:pPr>
        <w:pStyle w:val="null3"/>
        <w:outlineLvl w:val="3"/>
      </w:pPr>
      <w:r>
        <w:rPr>
          <w:b/>
          <w:sz w:val="24"/>
        </w:rPr>
        <w:t>3.项目联系方式</w:t>
      </w:r>
    </w:p>
    <w:p>
      <w:pPr>
        <w:pStyle w:val="null3"/>
        <w:ind w:firstLine="480"/>
      </w:pPr>
      <w:r>
        <w:rPr/>
        <w:t>项目联系人：</w:t>
      </w:r>
      <w:r>
        <w:rPr/>
        <w:t>简先生</w:t>
      </w:r>
    </w:p>
    <w:p>
      <w:pPr>
        <w:pStyle w:val="null3"/>
        <w:ind w:firstLine="480"/>
      </w:pPr>
      <w:r>
        <w:rPr/>
        <w:t>电话：</w:t>
      </w:r>
      <w:r>
        <w:rPr/>
        <w:t>简先生 0766-2922133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云浮市中策招标咨询服务有限公司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 xml:space="preserve"> 根据项目建设的依据和原则，在充分调查的基础上，结合林场实际，决定选择区位重要、林相较好、交通方便且相对集中连片的林地进行</w:t>
      </w:r>
      <w:r>
        <w:rPr>
          <w:sz w:val="21"/>
        </w:rPr>
        <w:t>2024年大径材培育示范林建设。经调查规划，设计实施总面积共5088亩，按工序划分割灌除草5088亩，间伐（疏伐）4623亩，修枝1755亩，施肥465亩。本项目须根据广东省林业局批复的作业设计完成项目建设内容，要求示范林建设期内任务完成率达100%，大径材培育质量达标率≥90%，项目完成后，生态环境、森林质量明显提升，可产生明显示范效应。</w:t>
      </w:r>
    </w:p>
    <w:p>
      <w:pPr>
        <w:pStyle w:val="null3"/>
      </w:pPr>
    </w:p>
    <w:p>
      <w:pPr>
        <w:pStyle w:val="null3"/>
      </w:pPr>
      <w:r>
        <w:rPr/>
        <w:t>采购包1（广东省云浮林场2024年大径材培育示范林建设项目）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★2024年9月25日前完成本项目</w:t>
            </w:r>
          </w:p>
        </w:tc>
      </w:tr>
      <w:tr>
        <w:tc>
          <w:tcPr>
            <w:tcW w:type="dxa" w:w="4153"/>
          </w:tcPr>
          <w:p>
            <w:pPr>
              <w:pStyle w:val="null3"/>
            </w:pPr>
            <w:r>
              <w:rPr/>
              <w:t>标的提供的地点</w:t>
            </w:r>
          </w:p>
        </w:tc>
        <w:tc>
          <w:tcPr>
            <w:tcW w:type="dxa" w:w="4153"/>
          </w:tcPr>
          <w:p>
            <w:pPr>
              <w:pStyle w:val="null3"/>
            </w:pPr>
          </w:p>
          <w:p>
            <w:pPr>
              <w:pStyle w:val="null3"/>
            </w:pPr>
            <w:r>
              <w:rPr/>
              <w:t>★高厂、都骑、茶塘等三个工区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1期：支付比例30%,★自合同签订之日起15个日历天内，采购人向成交供应商支付合同总金额的30%；</w:t>
            </w:r>
          </w:p>
          <w:p>
            <w:pPr>
              <w:pStyle w:val="null3"/>
            </w:pPr>
          </w:p>
          <w:p>
            <w:pPr>
              <w:pStyle w:val="null3"/>
            </w:pPr>
            <w:r>
              <w:rPr/>
              <w:t>2期：支付比例30%,★2024年6月底前完成项目进度要求后支付合同总金额的30%；</w:t>
            </w:r>
          </w:p>
          <w:p>
            <w:pPr>
              <w:pStyle w:val="null3"/>
            </w:pPr>
          </w:p>
          <w:p>
            <w:pPr>
              <w:pStyle w:val="null3"/>
            </w:pPr>
            <w:r>
              <w:rPr/>
              <w:t>3期：支付比例40%,★余下款项视施工进度支出，2024年9月30日前验收合格后完成全部支付。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1期：★（1）采购人及监理对成交供应商在施工期间的各项作业随时检查，发现问题，要及时纠正，直至项目实施质量合格为止方可予以验收。 ★（2）成交供应商完成项目后，要向采购人、监理提出质量验收申请，由采购人、监理、成交供应商到实地进行检查。检查合格后，采购人支付资金给成交供应商。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成交供应商须在合同签订后1个月内向采购人提交履约保证金（合同总价的5%）。如果成交供应商拒绝提交履约保证金，采购人将有充分理由取消其成交资格，成交供应商应承担违约责任。 ★（2）履约保证金提交方式：由供应商自主选择以支票、汇票、本票或者金融机构、担保机构出具的保函等非现金形式提交。 ★（3）履约保证金退还方式：原路退还。 ★（4）在合同履行期间如无出现违反采购文件及合同条款的行为，履约保证金在服务期结束（合同期满）后一个月内无息退还（或解除保函）。 ★（5）若出现以下情形，履约保证金将不予退还： ①成交供应商将中标项目转让或分包给他人； ②成交供应商无故拒绝履行合同； ③成交供应商连续三次因项目实施质量不合格导致验收不通过。 ★（6）采购人如逾期退还履约保证金，则每日按履约保证金的1‰向成交供应商偿付违约金；如为保函、保险形式的履约保证金，则项目验收通过后解除项目履约担保（或银行保函、或项目保险）即可。</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★付款方式（补充），（1）成交供应商凭以下有效文件向采购人申请支付： 1）合同； 2）成交供应商开具有效的正式发票； 3）成交通知书； 4）验收报告（加盖采购人公章）； 5）采购人要求的其他相关付款资料。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（1）供应商的报价须以人民币元为单位（小数点后可保留两位小数），所报的价格不得高于项目预算。 （2）供应商的报价为含税全包价，报价必须包括前期准备费、人工费、肥料费、运肥费、各项设施建设费、道路维修费、各项税费等完成合同规定责任和义务、达到合同目的的一切费用。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成交供应商须为参与本项目的工作人员购买人身意外保险，保险期须涵盖整个项目服务期。</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（1）成交供应商在服务期内违反国家相关法律法规，均由成交供应商负责处理，采购人不予承担任何责任。 （2）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广东省云浮林场2024年大径材培育示范林建设项目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2,900,000.00</w:t>
            </w:r>
          </w:p>
        </w:tc>
        <w:tc>
          <w:tcPr>
            <w:tcW w:type="dxa" w:w="933"/>
          </w:tcPr>
          <w:p>
            <w:pPr>
              <w:pStyle w:val="null3"/>
              <w:jc w:val="right"/>
            </w:pPr>
            <w:r>
              <w:rPr/>
              <w:t>2,900,000.00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广东省云浮林场2024年大径材培育示范林建设项目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b/>
                <w:sz w:val="22"/>
              </w:rPr>
              <w:t>（</w:t>
            </w:r>
            <w:r>
              <w:rPr>
                <w:b/>
                <w:sz w:val="22"/>
              </w:rPr>
              <w:t>1</w:t>
            </w:r>
            <w:r>
              <w:rPr>
                <w:b/>
                <w:sz w:val="22"/>
              </w:rPr>
              <w:t>）项目内容</w:t>
            </w:r>
          </w:p>
          <w:p>
            <w:pPr>
              <w:pStyle w:val="null3"/>
            </w:pPr>
            <w:r>
              <w:rPr>
                <w:sz w:val="21"/>
              </w:rPr>
              <w:t>1.1桉树大径材培育示范林建设</w:t>
            </w:r>
          </w:p>
          <w:p>
            <w:pPr>
              <w:pStyle w:val="null3"/>
            </w:pPr>
            <w:r>
              <w:rPr>
                <w:sz w:val="21"/>
              </w:rPr>
              <w:t>1.1.1以森林抚育提升方式优化提升桉树林分3333亩，作业小班分布在高厂、都骑、茶塘等三个工区，共16个作业小班。详见下表：</w:t>
            </w:r>
          </w:p>
          <w:p>
            <w:pPr>
              <w:pStyle w:val="null3"/>
              <w:ind w:firstLine="480"/>
              <w:jc w:val="center"/>
            </w:pPr>
            <w:r>
              <w:rPr>
                <w:sz w:val="21"/>
              </w:rPr>
              <w:t>广东省云浮林场</w:t>
            </w:r>
            <w:r>
              <w:rPr>
                <w:sz w:val="21"/>
              </w:rPr>
              <w:t>2024年桉树大径材培育示范林建设项目作业小班明细表</w:t>
            </w:r>
          </w:p>
          <w:tbl>
            <w:tblPr>
              <w:tblBorders>
                <w:top w:val="none" w:color="000000" w:sz="4"/>
                <w:left w:val="none" w:color="000000" w:sz="4"/>
                <w:bottom w:val="none" w:color="000000" w:sz="4"/>
                <w:right w:val="none" w:color="000000" w:sz="4"/>
                <w:insideH w:val="none"/>
                <w:insideV w:val="none"/>
              </w:tblBorders>
            </w:tblPr>
            <w:tblGrid>
              <w:gridCol w:w="503"/>
              <w:gridCol w:w="746"/>
              <w:gridCol w:w="842"/>
              <w:gridCol w:w="1562"/>
              <w:gridCol w:w="1943"/>
            </w:tblGrid>
            <w:tr>
              <w:tc>
                <w:tcPr>
                  <w:tcW w:type="dxa" w:w="5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工区</w:t>
                  </w:r>
                </w:p>
              </w:tc>
              <w:tc>
                <w:tcPr>
                  <w:tcW w:type="dxa" w:w="7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作业小班</w:t>
                  </w:r>
                </w:p>
              </w:tc>
              <w:tc>
                <w:tcPr>
                  <w:tcW w:type="dxa" w:w="24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面积（亩）</w:t>
                  </w:r>
                </w:p>
              </w:tc>
              <w:tc>
                <w:tcPr>
                  <w:tcW w:type="dxa" w:w="19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地籍小班号</w:t>
                  </w:r>
                </w:p>
              </w:tc>
            </w:tr>
            <w:tr>
              <w:tc>
                <w:tcPr>
                  <w:tcW w:type="dxa" w:w="503"/>
                  <w:vMerge/>
                  <w:tcBorders>
                    <w:top w:val="single" w:color="000000" w:sz="4"/>
                    <w:left w:val="single" w:color="000000" w:sz="4"/>
                    <w:bottom w:val="single" w:color="000000" w:sz="4"/>
                    <w:right w:val="single" w:color="000000" w:sz="4"/>
                  </w:tcBorders>
                </w:tcPr>
                <w:p/>
              </w:tc>
              <w:tc>
                <w:tcPr>
                  <w:tcW w:type="dxa" w:w="746"/>
                  <w:vMerge/>
                  <w:tcBorders>
                    <w:top w:val="singl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其中：森林抚育提升</w:t>
                  </w:r>
                </w:p>
              </w:tc>
              <w:tc>
                <w:tcPr>
                  <w:tcW w:type="dxa" w:w="1943"/>
                  <w:vMerge/>
                  <w:tcBorders>
                    <w:top w:val="single" w:color="000000" w:sz="4"/>
                    <w:left w:val="single" w:color="000000" w:sz="4"/>
                    <w:bottom w:val="single" w:color="000000" w:sz="4"/>
                    <w:right w:val="single" w:color="000000" w:sz="4"/>
                  </w:tcBorders>
                </w:tcPr>
                <w:p/>
              </w:tc>
            </w:tr>
            <w:tr>
              <w:tc>
                <w:tcPr>
                  <w:tcW w:type="dxa" w:w="1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3333</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3333</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高厂</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114</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114</w:t>
                  </w:r>
                </w:p>
              </w:tc>
              <w:tc>
                <w:tcPr>
                  <w:tcW w:type="dxa" w:w="1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445323009001000100700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228</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228</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445323009001000100800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258</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258</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445323009001000100900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445323009001000102300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207</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207</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445323009001000101600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445323009001000101500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445323009001000101800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1161</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1161</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都骑</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445323009005000101601</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229.5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229.5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445323009005000101500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325.5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325.5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445323009005000101401</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256.5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256.5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445323009005000101200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289.5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289.5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445323009005000100501</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238.5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238.5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445323009005000100601</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445323009005000100902</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445323009005000100700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1735.5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1735.5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茶塘</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436.5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436.5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445302009004000101300</w:t>
                  </w:r>
                </w:p>
              </w:tc>
            </w:tr>
            <w:tr>
              <w:tc>
                <w:tcPr>
                  <w:tcW w:type="dxa" w:w="503"/>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436.5</w:t>
                  </w:r>
                </w:p>
              </w:tc>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436.5</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r>
              <w:rPr>
                <w:sz w:val="21"/>
              </w:rPr>
              <w:t>1.1.2宣教设施</w:t>
            </w:r>
          </w:p>
          <w:p>
            <w:pPr>
              <w:pStyle w:val="null3"/>
              <w:ind w:firstLine="420"/>
            </w:pPr>
            <w:r>
              <w:rPr>
                <w:sz w:val="21"/>
              </w:rPr>
              <w:t>在都骑、高厂项目作业区重点区域及路段设置</w:t>
            </w:r>
            <w:r>
              <w:rPr>
                <w:sz w:val="21"/>
              </w:rPr>
              <w:t>1套宣教设施，包括：2个大型宣传牌（宣传栏）、3个标识牌、5条横幅。</w:t>
            </w:r>
          </w:p>
          <w:p>
            <w:pPr>
              <w:pStyle w:val="null3"/>
            </w:pPr>
            <w:r>
              <w:rPr>
                <w:sz w:val="21"/>
              </w:rPr>
              <w:t>1.1.3新建森林步道</w:t>
            </w:r>
          </w:p>
          <w:p>
            <w:pPr>
              <w:pStyle w:val="null3"/>
              <w:ind w:firstLine="420"/>
            </w:pPr>
            <w:r>
              <w:rPr>
                <w:sz w:val="21"/>
              </w:rPr>
              <w:t>为建设高质量的大径材培育示范基地，展示大径材培育成果，规划在大径材培育项目区修建</w:t>
            </w:r>
            <w:r>
              <w:rPr>
                <w:sz w:val="21"/>
              </w:rPr>
              <w:t>2公里的森林体验步道。</w:t>
            </w:r>
          </w:p>
          <w:p>
            <w:pPr>
              <w:pStyle w:val="null3"/>
            </w:pPr>
            <w:r>
              <w:rPr>
                <w:sz w:val="21"/>
              </w:rPr>
              <w:t>1.1.4道路维修</w:t>
            </w:r>
          </w:p>
          <w:p>
            <w:pPr>
              <w:pStyle w:val="null3"/>
              <w:ind w:firstLine="420"/>
            </w:pPr>
            <w:r>
              <w:rPr>
                <w:sz w:val="21"/>
              </w:rPr>
              <w:t>对作业区的道路进行维修，把山体崩塌阻塞道路通行的土方清理出道路外，对被雨水侵蚀、坑洼不平的路面进行平整，清除道路内侧排水沟上的杂灌杂草，使作业区道路畅通无阻，保障项目施工作业的顺利进行。</w:t>
            </w:r>
          </w:p>
          <w:p>
            <w:pPr>
              <w:pStyle w:val="null3"/>
            </w:pPr>
            <w:r>
              <w:rPr>
                <w:sz w:val="21"/>
              </w:rPr>
              <w:t>1.2阔叶树大径材培育示范林建设</w:t>
            </w:r>
          </w:p>
          <w:p>
            <w:pPr>
              <w:pStyle w:val="null3"/>
            </w:pPr>
            <w:r>
              <w:rPr>
                <w:sz w:val="21"/>
              </w:rPr>
              <w:t>1.2.1以森林抚育提升方式优化提升阔叶树林分1755亩，主要分布在茶塘，涉及1个工区，共计11个作业小班，详见下表：</w:t>
            </w:r>
          </w:p>
          <w:p>
            <w:pPr>
              <w:pStyle w:val="null3"/>
              <w:ind w:firstLine="480"/>
              <w:jc w:val="center"/>
            </w:pPr>
            <w:r>
              <w:rPr>
                <w:sz w:val="21"/>
              </w:rPr>
              <w:t>广东省云浮林场</w:t>
            </w:r>
            <w:r>
              <w:rPr>
                <w:sz w:val="21"/>
              </w:rPr>
              <w:t>2024年阔叶树大径材培育示范林建设项目作业地分布小班明细表</w:t>
            </w:r>
          </w:p>
          <w:tbl>
            <w:tblPr>
              <w:tblBorders>
                <w:top w:val="none" w:color="000000" w:sz="4"/>
                <w:left w:val="none" w:color="000000" w:sz="4"/>
                <w:bottom w:val="none" w:color="000000" w:sz="4"/>
                <w:right w:val="none" w:color="000000" w:sz="4"/>
                <w:insideH w:val="none"/>
                <w:insideV w:val="none"/>
              </w:tblBorders>
            </w:tblPr>
            <w:tblGrid>
              <w:gridCol w:w="1086"/>
              <w:gridCol w:w="1515"/>
              <w:gridCol w:w="1429"/>
              <w:gridCol w:w="1566"/>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工区</w:t>
                  </w:r>
                </w:p>
              </w:tc>
              <w:tc>
                <w:tcPr>
                  <w:tcW w:type="dxa" w:w="1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作业小班号</w:t>
                  </w:r>
                </w:p>
              </w:tc>
              <w:tc>
                <w:tcPr>
                  <w:tcW w:type="dxa" w:w="1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小班号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面积（亩）</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67</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00100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300</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68</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00200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165</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69</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00301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142.5</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70</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00400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153</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00500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322.5</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72</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00601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78</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73</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00602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39</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74</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00701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127.5</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75</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01600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217.5</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76</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02000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120</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茶塘</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77</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02100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90</w:t>
                  </w:r>
                </w:p>
              </w:tc>
            </w:tr>
            <w:tr>
              <w:tc>
                <w:tcPr>
                  <w:tcW w:type="dxa" w:w="40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小计</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1755</w:t>
                  </w:r>
                </w:p>
              </w:tc>
            </w:tr>
          </w:tbl>
          <w:p>
            <w:pPr>
              <w:pStyle w:val="null3"/>
            </w:pPr>
            <w:r>
              <w:rPr>
                <w:sz w:val="21"/>
              </w:rPr>
              <w:t>1.2.2步道</w:t>
            </w:r>
          </w:p>
          <w:p>
            <w:pPr>
              <w:pStyle w:val="null3"/>
              <w:ind w:firstLine="420"/>
            </w:pPr>
            <w:r>
              <w:rPr>
                <w:sz w:val="21"/>
              </w:rPr>
              <w:t>在茶塘作业区新建森林步道，步道长度约</w:t>
            </w:r>
            <w:r>
              <w:rPr>
                <w:sz w:val="21"/>
              </w:rPr>
              <w:t>2公里，宽度约0.8-1.0米。</w:t>
            </w:r>
          </w:p>
          <w:p>
            <w:pPr>
              <w:pStyle w:val="null3"/>
            </w:pPr>
            <w:r>
              <w:rPr>
                <w:sz w:val="21"/>
              </w:rPr>
              <w:t>1.2.3设置标识牌</w:t>
            </w:r>
          </w:p>
          <w:p>
            <w:pPr>
              <w:pStyle w:val="null3"/>
              <w:ind w:firstLine="420"/>
            </w:pPr>
            <w:r>
              <w:rPr>
                <w:sz w:val="21"/>
              </w:rPr>
              <w:t>在茶塘作业区设置</w:t>
            </w:r>
            <w:r>
              <w:rPr>
                <w:sz w:val="21"/>
              </w:rPr>
              <w:t>1个标识牌，将项目名称、项目规模、范围、面积、建设单位、建设日期等信息写于标识牌上，其规格为：高1.5米，宽2.0米，支柱长3.3米，直径8厘米，埋地0.8米，采用镀锌铁制作。</w:t>
            </w:r>
          </w:p>
          <w:p>
            <w:pPr>
              <w:pStyle w:val="null3"/>
            </w:pPr>
            <w:r>
              <w:rPr>
                <w:sz w:val="21"/>
              </w:rPr>
              <w:t>1.3项目物资需求及项目内容汇总表</w:t>
            </w:r>
          </w:p>
          <w:p>
            <w:pPr>
              <w:pStyle w:val="null3"/>
            </w:pPr>
            <w:r>
              <w:rPr>
                <w:sz w:val="21"/>
              </w:rPr>
              <w:t>1.3.1项目物资需求（肥料需要量）：施肥地点为茶塘工区00100、00200小班，面积465亩，共需复合肥（NPK含量≥30%）18135.00千克，全部为追肥。</w:t>
            </w:r>
          </w:p>
          <w:p>
            <w:pPr>
              <w:pStyle w:val="null3"/>
            </w:pPr>
            <w:r>
              <w:rPr>
                <w:sz w:val="21"/>
              </w:rPr>
              <w:t>1.3.2项目内容汇总表</w:t>
            </w:r>
          </w:p>
          <w:tbl>
            <w:tblPr>
              <w:tblBorders>
                <w:top w:val="none" w:color="000000" w:sz="4"/>
                <w:left w:val="none" w:color="000000" w:sz="4"/>
                <w:bottom w:val="none" w:color="000000" w:sz="4"/>
                <w:right w:val="none" w:color="000000" w:sz="4"/>
                <w:insideH w:val="none"/>
                <w:insideV w:val="none"/>
              </w:tblBorders>
            </w:tblPr>
            <w:tblGrid>
              <w:gridCol w:w="2651"/>
              <w:gridCol w:w="834"/>
              <w:gridCol w:w="918"/>
              <w:gridCol w:w="1195"/>
            </w:tblGrid>
            <w:tr>
              <w:tc>
                <w:tcPr>
                  <w:tcW w:type="dxa" w:w="2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计量单位</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间伐</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3333</w:t>
                  </w:r>
                </w:p>
              </w:tc>
              <w:tc>
                <w:tcPr>
                  <w:tcW w:type="dxa" w:w="1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桉树大径材培育示范林建设</w:t>
                  </w: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3333</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宣教设施</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道路设施（修建步道</w:t>
                  </w:r>
                  <w:r>
                    <w:rPr>
                      <w:sz w:val="21"/>
                    </w:rPr>
                    <w:t>2公里，维修作业区现有道路）</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1755</w:t>
                  </w:r>
                </w:p>
              </w:tc>
              <w:tc>
                <w:tcPr>
                  <w:tcW w:type="dxa" w:w="1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阔叶树大径材培育示范林建设</w:t>
                  </w: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追肥</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465</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肥料</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千克</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18135</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疏伐（含新开</w:t>
                  </w:r>
                  <w:r>
                    <w:rPr>
                      <w:sz w:val="21"/>
                    </w:rPr>
                    <w:t>1公里运材道、新建涵桥、便桥各1座及道路维修）</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1290</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修枝</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亩</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1755</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标识牌</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195"/>
                  <w:vMerge/>
                  <w:tcBorders>
                    <w:top w:val="none" w:color="000000" w:sz="4"/>
                    <w:left w:val="single" w:color="000000" w:sz="4"/>
                    <w:bottom w:val="single" w:color="000000" w:sz="4"/>
                    <w:right w:val="single" w:color="000000" w:sz="4"/>
                  </w:tcBorders>
                </w:tcP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森林步道</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米</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2000</w:t>
                  </w:r>
                </w:p>
              </w:tc>
              <w:tc>
                <w:tcPr>
                  <w:tcW w:type="dxa" w:w="1195"/>
                  <w:vMerge/>
                  <w:tcBorders>
                    <w:top w:val="none" w:color="000000" w:sz="4"/>
                    <w:left w:val="single" w:color="000000" w:sz="4"/>
                    <w:bottom w:val="single" w:color="000000" w:sz="4"/>
                    <w:right w:val="single" w:color="000000" w:sz="4"/>
                  </w:tcBorders>
                </w:tcPr>
                <w:p/>
              </w:tc>
            </w:tr>
          </w:tbl>
          <w:p/>
        </w:tc>
      </w:tr>
      <w:tr>
        <w:tc>
          <w:tcPr>
            <w:tcW w:type="dxa" w:w="2076"/>
          </w:tcPr>
          <w:p/>
        </w:tc>
        <w:tc>
          <w:tcPr>
            <w:tcW w:type="dxa" w:w="415"/>
          </w:tcPr>
          <w:p>
            <w:pPr>
              <w:pStyle w:val="null3"/>
            </w:pPr>
            <w:r>
              <w:rPr/>
              <w:t>2</w:t>
            </w:r>
          </w:p>
        </w:tc>
        <w:tc>
          <w:tcPr>
            <w:tcW w:type="dxa" w:w="5814"/>
          </w:tcPr>
          <w:p>
            <w:pPr>
              <w:pStyle w:val="null3"/>
            </w:pPr>
            <w:r>
              <w:rPr>
                <w:b/>
                <w:sz w:val="22"/>
              </w:rPr>
              <w:t>（</w:t>
            </w:r>
            <w:r>
              <w:rPr>
                <w:b/>
                <w:sz w:val="22"/>
              </w:rPr>
              <w:t>2</w:t>
            </w:r>
            <w:r>
              <w:rPr>
                <w:b/>
                <w:sz w:val="22"/>
              </w:rPr>
              <w:t>）项目实施地现状情况</w:t>
            </w:r>
          </w:p>
          <w:p>
            <w:pPr>
              <w:pStyle w:val="null3"/>
            </w:pPr>
            <w:r>
              <w:rPr>
                <w:sz w:val="21"/>
              </w:rPr>
              <w:t>2.1桉树大径材培育示范林建设作业地现状：为10-19年生桉树林分，林分平均胸径15.6-20.2厘米，平均高18.7-24.4米，林分郁闭度0.7-0.8。林地植被主要为杂灌木和草本，盖度达98%，灌木种类主要有桃金娘、三杈苦、野棉花、盐肤木等，草本种类主要为大芒、小芒、芒萁、乌毛蕨、蔓山莠竹等，平均海拔65-335米，坡度23-30度。</w:t>
            </w:r>
          </w:p>
          <w:p>
            <w:pPr>
              <w:pStyle w:val="null3"/>
            </w:pPr>
            <w:r>
              <w:rPr>
                <w:sz w:val="21"/>
              </w:rPr>
              <w:t>2.2阔叶树大径材培育示范林建设作业地现状：为乔木林，树种主要有红锥、火力楠、荷木、杉、灰木莲等，灌木主要有桃金娘等，草本主要有芒萁、芒草、蕨类等，郁闭度0.6-0.8。海拔标高介于80-306米之间，坡度50度以下。</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sz w:val="22"/>
              </w:rPr>
              <w:t>（</w:t>
            </w:r>
            <w:r>
              <w:rPr>
                <w:b/>
                <w:sz w:val="22"/>
              </w:rPr>
              <w:t>3）工作具体要求</w:t>
            </w:r>
          </w:p>
          <w:p>
            <w:pPr>
              <w:pStyle w:val="null3"/>
            </w:pPr>
            <w:r>
              <w:rPr>
                <w:sz w:val="21"/>
              </w:rPr>
              <w:t>3.1桉树大径材培育示范林建设</w:t>
            </w:r>
          </w:p>
          <w:p>
            <w:pPr>
              <w:pStyle w:val="null3"/>
            </w:pPr>
            <w:r>
              <w:rPr>
                <w:sz w:val="21"/>
              </w:rPr>
              <w:t>3.1.1间伐</w:t>
            </w:r>
          </w:p>
          <w:p>
            <w:pPr>
              <w:pStyle w:val="null3"/>
            </w:pPr>
            <w:r>
              <w:rPr>
                <w:sz w:val="21"/>
              </w:rPr>
              <w:t>3.1.1.1间伐原则：遵循“砍小留大，砍密留稀，砍劣留优，照顾均匀”的原则，伐除密度过大、生长不良的林木，伐后郁闭度不低于0.6。具体按照以下间伐原则进行：</w:t>
            </w:r>
          </w:p>
          <w:p>
            <w:pPr>
              <w:pStyle w:val="null3"/>
            </w:pPr>
            <w:r>
              <w:rPr>
                <w:sz w:val="21"/>
              </w:rPr>
              <w:t>①砍小留大：伐除密度过大、生长不良的下层被压树木；保留中等木、亚优势木、优势木；</w:t>
            </w:r>
          </w:p>
          <w:p>
            <w:pPr>
              <w:pStyle w:val="null3"/>
            </w:pPr>
            <w:r>
              <w:rPr>
                <w:sz w:val="21"/>
              </w:rPr>
              <w:t>②砍密留稀，照顾均匀：密度大的地方，可适当伐除中等木或亚优势木；在稀疏的地方，适当保留中等以下的树木，避免出现“天窗”现象，以保证整个林分立木均匀度；</w:t>
            </w:r>
          </w:p>
          <w:p>
            <w:pPr>
              <w:pStyle w:val="null3"/>
            </w:pPr>
            <w:r>
              <w:rPr>
                <w:sz w:val="21"/>
              </w:rPr>
              <w:t>③砍劣留优：伐除弯曲木、分叉木、断梢木、歪斜木以及枯死木、濒死木、病害木，保留干形通直圆满树木。</w:t>
            </w:r>
          </w:p>
          <w:p>
            <w:pPr>
              <w:pStyle w:val="null3"/>
            </w:pPr>
            <w:r>
              <w:rPr>
                <w:sz w:val="21"/>
              </w:rPr>
              <w:t>3.1.1.2间伐设计：根据间伐原则及实地调查成果分析，本次桉树间伐总蓄积9664立方米，间伐出材7569立方米。间伐强度平均为18.1%，株数间伐强度平均为21.5%，抚育间伐后郁闭度不低于0.6，间伐后林分平均胸径18.5厘米，平均树高22.3米。具体各项指标如下表：</w:t>
            </w:r>
          </w:p>
          <w:p>
            <w:pPr>
              <w:pStyle w:val="null3"/>
              <w:ind w:firstLine="480"/>
              <w:jc w:val="center"/>
            </w:pPr>
            <w:r>
              <w:rPr>
                <w:sz w:val="21"/>
              </w:rPr>
              <w:t>广东省云浮林场</w:t>
            </w:r>
            <w:r>
              <w:rPr>
                <w:sz w:val="21"/>
              </w:rPr>
              <w:t>2024年大径材培育示范林建设项目抚育间伐作业设计指标表</w:t>
            </w:r>
          </w:p>
          <w:p>
            <w:pPr>
              <w:pStyle w:val="null3"/>
              <w:ind w:firstLine="480"/>
              <w:jc w:val="right"/>
            </w:pPr>
            <w:r>
              <w:rPr>
                <w:sz w:val="21"/>
              </w:rPr>
              <w:t>单位：亩、株、立方米、</w:t>
            </w:r>
            <w:r>
              <w:rPr>
                <w:sz w:val="21"/>
              </w:rPr>
              <w:t>%</w:t>
            </w:r>
          </w:p>
          <w:tbl>
            <w:tblPr>
              <w:tblBorders>
                <w:top w:val="none" w:color="000000" w:sz="4"/>
                <w:left w:val="none" w:color="000000" w:sz="4"/>
                <w:bottom w:val="none" w:color="000000" w:sz="4"/>
                <w:right w:val="none" w:color="000000" w:sz="4"/>
                <w:insideH w:val="none"/>
                <w:insideV w:val="none"/>
              </w:tblBorders>
            </w:tblPr>
            <w:tblGrid>
              <w:gridCol w:w="264"/>
              <w:gridCol w:w="264"/>
              <w:gridCol w:w="446"/>
              <w:gridCol w:w="419"/>
              <w:gridCol w:w="419"/>
              <w:gridCol w:w="419"/>
              <w:gridCol w:w="419"/>
              <w:gridCol w:w="501"/>
              <w:gridCol w:w="501"/>
              <w:gridCol w:w="419"/>
              <w:gridCol w:w="419"/>
              <w:gridCol w:w="501"/>
              <w:gridCol w:w="601"/>
            </w:tblGrid>
            <w:tr>
              <w:tc>
                <w:tcPr>
                  <w:tcW w:type="dxa" w:w="2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工区</w:t>
                  </w:r>
                </w:p>
              </w:tc>
              <w:tc>
                <w:tcPr>
                  <w:tcW w:type="dxa" w:w="2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作业小班</w:t>
                  </w:r>
                </w:p>
              </w:tc>
              <w:tc>
                <w:tcPr>
                  <w:tcW w:type="dxa" w:w="4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面积</w:t>
                  </w:r>
                </w:p>
              </w:tc>
              <w:tc>
                <w:tcPr>
                  <w:tcW w:type="dxa" w:w="8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树种组成</w:t>
                  </w:r>
                </w:p>
              </w:tc>
              <w:tc>
                <w:tcPr>
                  <w:tcW w:type="dxa" w:w="8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每公顷株数</w:t>
                  </w:r>
                </w:p>
              </w:tc>
              <w:tc>
                <w:tcPr>
                  <w:tcW w:type="dxa" w:w="10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每公顷蓄积</w:t>
                  </w:r>
                </w:p>
              </w:tc>
              <w:tc>
                <w:tcPr>
                  <w:tcW w:type="dxa" w:w="8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间伐强度</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间伐蓄积</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间伐出材量</w:t>
                  </w:r>
                </w:p>
              </w:tc>
            </w:tr>
            <w:tr>
              <w:tc>
                <w:tcPr>
                  <w:tcW w:type="dxa" w:w="264"/>
                  <w:vMerge/>
                  <w:tcBorders>
                    <w:top w:val="single" w:color="000000" w:sz="4"/>
                    <w:left w:val="single" w:color="000000" w:sz="4"/>
                    <w:bottom w:val="single" w:color="000000" w:sz="4"/>
                    <w:right w:val="single" w:color="000000" w:sz="4"/>
                  </w:tcBorders>
                </w:tcPr>
                <w:p/>
              </w:tc>
              <w:tc>
                <w:tcPr>
                  <w:tcW w:type="dxa" w:w="264"/>
                  <w:vMerge/>
                  <w:tcBorders>
                    <w:top w:val="single" w:color="000000" w:sz="4"/>
                    <w:left w:val="single" w:color="000000" w:sz="4"/>
                    <w:bottom w:val="single" w:color="000000" w:sz="4"/>
                    <w:right w:val="single" w:color="000000" w:sz="4"/>
                  </w:tcBorders>
                </w:tcPr>
                <w:p/>
              </w:tc>
              <w:tc>
                <w:tcPr>
                  <w:tcW w:type="dxa" w:w="446"/>
                  <w:vMerge/>
                  <w:tcBorders>
                    <w:top w:val="singl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伐前</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伐后</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伐前</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伐后</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伐前</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伐后</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株数</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蓄积</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高厂</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920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725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195.0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267.8</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1020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815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258.0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18.6</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728.4</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570.4</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1050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292.5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235.5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980.4</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771.6</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943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229.5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542.1</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424.5</w:t>
                  </w:r>
                </w:p>
              </w:tc>
            </w:tr>
          </w:tbl>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264"/>
              <w:gridCol w:w="264"/>
              <w:gridCol w:w="446"/>
              <w:gridCol w:w="419"/>
              <w:gridCol w:w="419"/>
              <w:gridCol w:w="419"/>
              <w:gridCol w:w="419"/>
              <w:gridCol w:w="501"/>
              <w:gridCol w:w="501"/>
              <w:gridCol w:w="419"/>
              <w:gridCol w:w="419"/>
              <w:gridCol w:w="501"/>
              <w:gridCol w:w="601"/>
            </w:tblGrid>
            <w:tr>
              <w:tc>
                <w:tcPr>
                  <w:tcW w:type="dxa" w:w="2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207</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973</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758</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252.0</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202.5</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22.1</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19.6</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683.1</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534.9</w:t>
                  </w:r>
                </w:p>
              </w:tc>
            </w:tr>
            <w:tr>
              <w:tc>
                <w:tcPr>
                  <w:tcW w:type="dxa" w:w="264"/>
                  <w:vMerge/>
                  <w:tcBorders>
                    <w:top w:val="singl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46.5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968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259.5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153.5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120.2</w:t>
                  </w:r>
                </w:p>
              </w:tc>
            </w:tr>
            <w:tr>
              <w:tc>
                <w:tcPr>
                  <w:tcW w:type="dxa" w:w="264"/>
                  <w:vMerge/>
                  <w:tcBorders>
                    <w:top w:val="singl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960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705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204.0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162.0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20.6</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277.2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215.4</w:t>
                  </w:r>
                </w:p>
              </w:tc>
            </w:tr>
            <w:tr>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都骑</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951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747</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241.5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198.0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338</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229.5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1010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250.5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205.5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688.5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539.1</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325.5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962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748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232.5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187.5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19.4</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976.5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764.6</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256.5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868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249.0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820.8</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646</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289.5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803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603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229.5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184.5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19.6</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868.5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680</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238.5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192.0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165.0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429.3</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336.1</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795</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222.0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183.0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19.7</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17.6</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97.5</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75.8</w:t>
                  </w:r>
                </w:p>
              </w:tc>
            </w:tr>
            <w:tr>
              <w:tc>
                <w:tcPr>
                  <w:tcW w:type="dxa" w:w="264"/>
                  <w:vMerge/>
                  <w:tcBorders>
                    <w:top w:val="none" w:color="000000" w:sz="4"/>
                    <w:left w:val="single" w:color="000000" w:sz="4"/>
                    <w:bottom w:val="single" w:color="000000" w:sz="4"/>
                    <w:right w:val="single" w:color="000000" w:sz="4"/>
                  </w:tcBorders>
                </w:tcP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860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703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177.0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375.3</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茶塘</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436.5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10桉</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910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738</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291.0</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247.5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14.9</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1265.9</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996.3</w:t>
                  </w:r>
                </w:p>
              </w:tc>
            </w:tr>
          </w:tbl>
          <w:p>
            <w:pPr>
              <w:pStyle w:val="null3"/>
            </w:pPr>
            <w:r>
              <w:rPr>
                <w:sz w:val="21"/>
              </w:rPr>
              <w:t>3.1.1.3间伐做法：在间伐开始前，将需要伐除立木在树干高度约1米处做好标记，再进行统一伐除。伐除时，根据待伐植株的冠形和倾斜方向，控制待伐植株的倒向，尽量避免损伤到非采伐植株。植株伐倒后，去除枝叶，根据要求将树干锯成若干段。</w:t>
            </w:r>
          </w:p>
          <w:p>
            <w:pPr>
              <w:pStyle w:val="null3"/>
            </w:pPr>
            <w:r>
              <w:rPr>
                <w:sz w:val="21"/>
              </w:rPr>
              <w:t>3.1.1.4间伐木材处理：将间伐桉木尾径6厘米以上制材成2.6米/段，将木材集运归楞到林场指定的地方堆放好。</w:t>
            </w:r>
          </w:p>
          <w:p>
            <w:pPr>
              <w:pStyle w:val="null3"/>
            </w:pPr>
            <w:r>
              <w:rPr>
                <w:sz w:val="21"/>
              </w:rPr>
              <w:t>3.1.1.5剩余物处理：林地内间伐及割灌除草后，大枝丫、伐倒的弱小株、枯死株等剩余物水平铺在林内或清理出林地外。</w:t>
            </w:r>
          </w:p>
          <w:p>
            <w:pPr>
              <w:pStyle w:val="null3"/>
            </w:pPr>
            <w:r>
              <w:rPr>
                <w:sz w:val="21"/>
              </w:rPr>
              <w:t>3.1.2割灌除草</w:t>
            </w:r>
          </w:p>
          <w:p>
            <w:pPr>
              <w:pStyle w:val="null3"/>
              <w:ind w:firstLine="420"/>
            </w:pPr>
            <w:r>
              <w:rPr>
                <w:sz w:val="21"/>
              </w:rPr>
              <w:t>用机械或人工对作业林地进行全面割灌除草，清除目的树种周围的杂草、灌木、藤本、零星杂竹和难以成材的多余萌条，以改善林分的生长环境，割除的杂灌杂草头高度低于</w:t>
            </w:r>
            <w:r>
              <w:rPr>
                <w:sz w:val="21"/>
              </w:rPr>
              <w:t>15厘米。尽量保留有培育价值的林分中的乡土阔叶树和珍贵树种。</w:t>
            </w:r>
          </w:p>
          <w:p>
            <w:pPr>
              <w:pStyle w:val="null3"/>
            </w:pPr>
            <w:r>
              <w:rPr>
                <w:sz w:val="21"/>
              </w:rPr>
              <w:t>3.1.3宣教设施</w:t>
            </w:r>
          </w:p>
          <w:p>
            <w:pPr>
              <w:pStyle w:val="null3"/>
              <w:ind w:firstLine="420"/>
            </w:pPr>
            <w:r>
              <w:rPr>
                <w:sz w:val="21"/>
              </w:rPr>
              <w:t>在都骑、高厂项目作业区重点区域及路段设置</w:t>
            </w:r>
            <w:r>
              <w:rPr>
                <w:sz w:val="21"/>
              </w:rPr>
              <w:t>1套宣教设施，包括：2个大型宣传牌（长8米×宽5米，含支架），3个标识牌（长3米×宽2.5米，含支架）、5条横幅。</w:t>
            </w:r>
          </w:p>
          <w:p>
            <w:pPr>
              <w:pStyle w:val="null3"/>
            </w:pPr>
            <w:r>
              <w:rPr>
                <w:sz w:val="21"/>
              </w:rPr>
              <w:t>3.1.4新建森林步道</w:t>
            </w:r>
          </w:p>
          <w:p>
            <w:pPr>
              <w:pStyle w:val="null3"/>
              <w:ind w:firstLine="420"/>
            </w:pPr>
            <w:r>
              <w:rPr>
                <w:sz w:val="21"/>
              </w:rPr>
              <w:t>为建设高质量的大径材培育示范基地，展示大径材培育成果，规划在大径材培育项目区修建</w:t>
            </w:r>
            <w:r>
              <w:rPr>
                <w:sz w:val="21"/>
              </w:rPr>
              <w:t>2公里的森林体验步道，要求步道宽1.5-2.0米，路面铺砂砾（厚度5厘米），浆砌边沟（内宽20厘米，沟深25厘米）。</w:t>
            </w:r>
          </w:p>
          <w:p>
            <w:pPr>
              <w:pStyle w:val="null3"/>
            </w:pPr>
            <w:r>
              <w:rPr>
                <w:sz w:val="21"/>
              </w:rPr>
              <w:t>3.1.5道路维修</w:t>
            </w:r>
          </w:p>
          <w:p>
            <w:pPr>
              <w:pStyle w:val="null3"/>
              <w:ind w:firstLine="420"/>
            </w:pPr>
            <w:r>
              <w:rPr>
                <w:sz w:val="21"/>
              </w:rPr>
              <w:t>对作业区的道路进行维修，把山体崩塌阻塞道路通行的土方清理出道路外，对被雨水侵蚀、坑洼不平的路面进行平整，清除道路内侧排水沟上的杂灌杂草，使作业区道路畅通无阻。</w:t>
            </w:r>
          </w:p>
          <w:p>
            <w:pPr>
              <w:pStyle w:val="null3"/>
            </w:pPr>
            <w:r>
              <w:rPr>
                <w:sz w:val="21"/>
              </w:rPr>
              <w:t>3.1.6进度要求</w:t>
            </w:r>
          </w:p>
          <w:p>
            <w:pPr>
              <w:pStyle w:val="null3"/>
              <w:ind w:firstLine="420"/>
            </w:pPr>
            <w:r>
              <w:rPr>
                <w:sz w:val="21"/>
              </w:rPr>
              <w:t>签订合同后，成交供应商</w:t>
            </w:r>
            <w:r>
              <w:rPr>
                <w:sz w:val="21"/>
              </w:rPr>
              <w:t>15个工作日内进场施工人员须不少于15人，2024年6月底前完成桉树大径材培育示范林建设面积的50%以上，9月25日前全部完成。</w:t>
            </w:r>
          </w:p>
          <w:p>
            <w:pPr>
              <w:pStyle w:val="null3"/>
            </w:pPr>
            <w:r>
              <w:rPr>
                <w:sz w:val="21"/>
              </w:rPr>
              <w:t>3.2阔叶树大径材培育示范林建设</w:t>
            </w:r>
          </w:p>
          <w:p>
            <w:pPr>
              <w:pStyle w:val="null3"/>
            </w:pPr>
            <w:r>
              <w:rPr>
                <w:sz w:val="21"/>
              </w:rPr>
              <w:t>3.2.1疏伐</w:t>
            </w:r>
          </w:p>
          <w:p>
            <w:pPr>
              <w:pStyle w:val="null3"/>
            </w:pPr>
            <w:r>
              <w:rPr>
                <w:sz w:val="21"/>
              </w:rPr>
              <w:t>3.2.1.1疏伐原则：对茶塘工区培育大径材的林地，采用疏伐的方式进行，遵循“砍弱留强，砍劣留优，砍密留稀，照顾均匀”的原则，具体按照以下疏伐原则进行：</w:t>
            </w:r>
          </w:p>
          <w:p>
            <w:pPr>
              <w:pStyle w:val="null3"/>
            </w:pPr>
            <w:r>
              <w:rPr>
                <w:sz w:val="21"/>
              </w:rPr>
              <w:t>①砍弱留强：伐除枯死木、濒死木、病害木、被压木，保留中等以上的树木（中等木、亚优势木、优势木）；</w:t>
            </w:r>
          </w:p>
          <w:p>
            <w:pPr>
              <w:pStyle w:val="null3"/>
            </w:pPr>
            <w:r>
              <w:rPr>
                <w:sz w:val="21"/>
              </w:rPr>
              <w:t>②砍劣留优：伐除弯曲木、分叉木、断梢木和歪斜木，保留干形通直圆满树木；</w:t>
            </w:r>
          </w:p>
          <w:p>
            <w:pPr>
              <w:pStyle w:val="null3"/>
            </w:pPr>
            <w:r>
              <w:rPr>
                <w:sz w:val="21"/>
              </w:rPr>
              <w:t>③砍密留稀，照顾均匀：密度大的地方，可适当伐除中等木或亚优势木；在稀疏的地方，适当保留中等以下的树木，避免出现林窗现象，以保证整个林分立木均匀度；</w:t>
            </w:r>
          </w:p>
          <w:p>
            <w:pPr>
              <w:pStyle w:val="null3"/>
            </w:pPr>
            <w:r>
              <w:rPr>
                <w:sz w:val="21"/>
              </w:rPr>
              <w:t>④69、70、71、74、75、76号作业小班（小班号00301、00400、00500、00701、01600、02000），伐去全部杉树（造成林窗的可适当保留部分）。</w:t>
            </w:r>
          </w:p>
          <w:p>
            <w:pPr>
              <w:pStyle w:val="null3"/>
            </w:pPr>
            <w:r>
              <w:rPr>
                <w:sz w:val="21"/>
              </w:rPr>
              <w:t>3.2.1.2疏伐具体做法：在疏伐开始前，将需要伐除立木全部在树干高度约1米处做好标记，再进行统一伐除。伐除时，根据待伐植株的冠形和倾斜方向，控制待伐植株的倒向，尽量避免损伤到非采伐植株。植株伐倒后，去除枝叶，而后将树干锯成若干段，大枝丫、伐倒的弱小株、枯死株等剩余物水平铺在林内或清理出林地外。具体疏伐木材制材集材要求：</w:t>
            </w:r>
          </w:p>
          <w:p>
            <w:pPr>
              <w:pStyle w:val="null3"/>
            </w:pPr>
            <w:r>
              <w:rPr>
                <w:sz w:val="21"/>
              </w:rPr>
              <w:t>①杉木：尾径6-12厘米（含12厘米）的制成4.0米/段，12厘米以上的制成2米/段，按要求堆放在运材道。</w:t>
            </w:r>
          </w:p>
          <w:p>
            <w:pPr>
              <w:pStyle w:val="null3"/>
            </w:pPr>
            <w:r>
              <w:rPr>
                <w:sz w:val="21"/>
              </w:rPr>
              <w:t>②阔叶树：尾径10厘米以上（含10厘米）的制成2米/段，按要求堆放在运材道。</w:t>
            </w:r>
          </w:p>
          <w:p>
            <w:pPr>
              <w:pStyle w:val="null3"/>
            </w:pPr>
            <w:r>
              <w:rPr>
                <w:sz w:val="21"/>
              </w:rPr>
              <w:t>3.2.1.3疏伐设计：</w:t>
            </w:r>
          </w:p>
          <w:p>
            <w:pPr>
              <w:pStyle w:val="null3"/>
              <w:ind w:firstLine="480"/>
              <w:jc w:val="center"/>
            </w:pPr>
            <w:r>
              <w:rPr>
                <w:sz w:val="21"/>
              </w:rPr>
              <w:t>大径材培育示范林疏伐设计表</w:t>
            </w:r>
          </w:p>
          <w:p>
            <w:pPr>
              <w:pStyle w:val="null3"/>
              <w:ind w:firstLine="480"/>
              <w:jc w:val="right"/>
            </w:pPr>
            <w:r>
              <w:rPr>
                <w:sz w:val="21"/>
              </w:rPr>
              <w:t>单位：亩、年、株、立方米</w:t>
            </w:r>
          </w:p>
          <w:tbl>
            <w:tblPr>
              <w:tblBorders>
                <w:top w:val="none" w:color="000000" w:sz="4"/>
                <w:left w:val="none" w:color="000000" w:sz="4"/>
                <w:bottom w:val="none" w:color="000000" w:sz="4"/>
                <w:right w:val="none" w:color="000000" w:sz="4"/>
                <w:insideH w:val="none"/>
                <w:insideV w:val="none"/>
              </w:tblBorders>
            </w:tblPr>
            <w:tblGrid>
              <w:gridCol w:w="229"/>
              <w:gridCol w:w="414"/>
              <w:gridCol w:w="494"/>
              <w:gridCol w:w="1077"/>
              <w:gridCol w:w="414"/>
              <w:gridCol w:w="1501"/>
              <w:gridCol w:w="494"/>
              <w:gridCol w:w="494"/>
              <w:gridCol w:w="441"/>
            </w:tblGrid>
            <w:tr>
              <w:tc>
                <w:tcPr>
                  <w:tcW w:type="dxa" w:w="2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工区</w:t>
                  </w:r>
                </w:p>
              </w:tc>
              <w:tc>
                <w:tcPr>
                  <w:tcW w:type="dxa" w:w="4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作业小班号</w:t>
                  </w:r>
                </w:p>
              </w:tc>
              <w:tc>
                <w:tcPr>
                  <w:tcW w:type="dxa" w:w="4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面积</w:t>
                  </w:r>
                </w:p>
              </w:tc>
              <w:tc>
                <w:tcPr>
                  <w:tcW w:type="dxa" w:w="10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树种组成</w:t>
                  </w:r>
                </w:p>
              </w:tc>
              <w:tc>
                <w:tcPr>
                  <w:tcW w:type="dxa" w:w="4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造林年度</w:t>
                  </w:r>
                </w:p>
              </w:tc>
              <w:tc>
                <w:tcPr>
                  <w:tcW w:type="dxa" w:w="15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技术措施</w:t>
                  </w:r>
                </w:p>
              </w:tc>
              <w:tc>
                <w:tcPr>
                  <w:tcW w:type="dxa" w:w="142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疏伐设计</w:t>
                  </w:r>
                </w:p>
              </w:tc>
            </w:tr>
            <w:tr>
              <w:tc>
                <w:tcPr>
                  <w:tcW w:type="dxa" w:w="229"/>
                  <w:vMerge/>
                  <w:tcBorders>
                    <w:top w:val="singl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494"/>
                  <w:vMerge/>
                  <w:tcBorders>
                    <w:top w:val="single" w:color="000000" w:sz="4"/>
                    <w:left w:val="none" w:color="000000" w:sz="4"/>
                    <w:bottom w:val="single" w:color="000000" w:sz="4"/>
                    <w:right w:val="single" w:color="000000" w:sz="4"/>
                  </w:tcBorders>
                </w:tcPr>
                <w:p/>
              </w:tc>
              <w:tc>
                <w:tcPr>
                  <w:tcW w:type="dxa" w:w="1077"/>
                  <w:vMerge/>
                  <w:tcBorders>
                    <w:top w:val="single" w:color="000000" w:sz="4"/>
                    <w:left w:val="non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1501"/>
                  <w:vMerge/>
                  <w:tcBorders>
                    <w:top w:val="single" w:color="000000" w:sz="4"/>
                    <w:left w:val="none" w:color="000000" w:sz="4"/>
                    <w:bottom w:val="single" w:color="000000" w:sz="4"/>
                    <w:right w:val="single" w:color="000000" w:sz="4"/>
                  </w:tcBorders>
                </w:tcP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疏伐株数</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疏伐蓄积</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出材量</w:t>
                  </w:r>
                </w:p>
              </w:tc>
            </w:tr>
            <w:tr>
              <w:tc>
                <w:tcPr>
                  <w:tcW w:type="dxa" w:w="6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1755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45059</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1749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1049</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茶塘</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红锥</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2016</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割灌除草、施肥、修枝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22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红锥</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2016</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割灌除草、施肥、修枝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229"/>
              <w:gridCol w:w="414"/>
              <w:gridCol w:w="494"/>
              <w:gridCol w:w="1077"/>
              <w:gridCol w:w="414"/>
              <w:gridCol w:w="1501"/>
              <w:gridCol w:w="494"/>
              <w:gridCol w:w="494"/>
              <w:gridCol w:w="441"/>
            </w:tblGrid>
            <w:tr>
              <w:tc>
                <w:tcPr>
                  <w:tcW w:type="dxa" w:w="22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142.5</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荷木、杉</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2009</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3349</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171</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103</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70</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火力楠、荷木、杉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2015</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3596</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180.5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108</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71</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火力楠、荷木、杉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2015</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7579</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390.2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234</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72</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火力楠、荷木、灰木莲等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2011</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2067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85.8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51</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73</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火力楠、荷木、灰木莲等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2011</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1697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74</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127.5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1985</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2550</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161.9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97</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217.5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火力楠、杉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1985</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12506</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448.1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269</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76</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荷木、杉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1984</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割灌除草、疏伐（含伐去杉）、修枝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9600</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159.6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96</w:t>
                  </w:r>
                </w:p>
              </w:tc>
            </w:tr>
            <w:tr>
              <w:tc>
                <w:tcPr>
                  <w:tcW w:type="dxa" w:w="229"/>
                  <w:vMerge/>
                  <w:tcBorders>
                    <w:top w:val="singl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77</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荷木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1994</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割灌除草、疏伐、修枝</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2115</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109.8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66</w:t>
                  </w:r>
                </w:p>
              </w:tc>
            </w:tr>
          </w:tbl>
          <w:p>
            <w:pPr>
              <w:pStyle w:val="null3"/>
            </w:pPr>
            <w:r>
              <w:rPr>
                <w:sz w:val="21"/>
              </w:rPr>
              <w:t>3.2.2割灌除草</w:t>
            </w:r>
          </w:p>
          <w:p>
            <w:pPr>
              <w:pStyle w:val="null3"/>
              <w:ind w:firstLine="420"/>
            </w:pPr>
            <w:r>
              <w:rPr>
                <w:sz w:val="21"/>
              </w:rPr>
              <w:t>大径材培育示范林杂灌较多，需要全面割杂灌杂草和藤本植物，留下的草头不高于</w:t>
            </w:r>
            <w:r>
              <w:rPr>
                <w:sz w:val="21"/>
              </w:rPr>
              <w:t>15cm。割灌除草时应注重保护珍惜濒危植物、国家重点保护树种、林窗外的幼树幼苗以及林下有生长潜力的幼树幼苗。</w:t>
            </w:r>
          </w:p>
          <w:p>
            <w:pPr>
              <w:pStyle w:val="null3"/>
            </w:pPr>
            <w:r>
              <w:rPr>
                <w:sz w:val="21"/>
              </w:rPr>
              <w:t>3.2.3修枝</w:t>
            </w:r>
          </w:p>
          <w:p>
            <w:pPr>
              <w:pStyle w:val="null3"/>
              <w:ind w:firstLine="420"/>
            </w:pPr>
            <w:r>
              <w:rPr>
                <w:sz w:val="21"/>
              </w:rPr>
              <w:t>对主干不明显、低部枝桠较多及难以成材、老弱的枝桠进行修剪，大径材培育示范林树较高及分枝较粗的，需要使用手锯进行修枝，锯口要贴着树干，锯口要平整，枝桩尽量修平，不能伤害树干的韧皮部和木质部。</w:t>
            </w:r>
          </w:p>
          <w:p>
            <w:pPr>
              <w:pStyle w:val="null3"/>
            </w:pPr>
            <w:r>
              <w:rPr>
                <w:sz w:val="21"/>
              </w:rPr>
              <w:t>3.2.4施肥</w:t>
            </w:r>
          </w:p>
          <w:p>
            <w:pPr>
              <w:pStyle w:val="null3"/>
              <w:ind w:firstLine="420"/>
            </w:pPr>
            <w:r>
              <w:rPr>
                <w:sz w:val="21"/>
              </w:rPr>
              <w:t>对茶塘</w:t>
            </w:r>
            <w:r>
              <w:rPr>
                <w:sz w:val="21"/>
              </w:rPr>
              <w:t>67、68作业小班施肥，将肥料施于林木根系集中分布区，不超出树冠覆盖范围，并用土盖实，避免流失。施肥采用沟状埋施，施肥沟位于树冠投影外沿的上坡处，沟深不小于0.2米、宽0.2-0.25米，将肥料撒入后覆土。要求施放复合肥，每株施放0.5kg复合肥（NPK含量≥30%）。</w:t>
            </w:r>
          </w:p>
          <w:p>
            <w:pPr>
              <w:pStyle w:val="null3"/>
            </w:pPr>
            <w:r>
              <w:rPr>
                <w:sz w:val="21"/>
              </w:rPr>
              <w:t>3.2.5基础设施</w:t>
            </w:r>
          </w:p>
          <w:p>
            <w:pPr>
              <w:pStyle w:val="null3"/>
            </w:pPr>
            <w:r>
              <w:rPr>
                <w:sz w:val="21"/>
              </w:rPr>
              <w:t>3.2.5.1林中杂灌较多，林地较陡峭，采伐、制材及集材难度大，为方便施工，顺利开展大径材培育工作，在茶塘作业区需新开路面宽度3米的运材道1公里，新建1座两边边坡浆砌水泥、路面宽3.5米、过水涵管至少6个（内孔1米）的涵桥，新建1座路面水泥板长4米、宽1.5米的便桥。同时对疏伐以及其他培育措施的作业区进行道路维修，保证车辆能通行，其中包括集材道路维修、施肥道路维修、搬运及运输道路维修等。</w:t>
            </w:r>
          </w:p>
          <w:p>
            <w:pPr>
              <w:pStyle w:val="null3"/>
            </w:pPr>
            <w:r>
              <w:rPr>
                <w:sz w:val="21"/>
              </w:rPr>
              <w:t>3.2.5.2新建森林步道，步道长度约2公里，宽度约0.8-1.0米。</w:t>
            </w:r>
          </w:p>
          <w:p>
            <w:pPr>
              <w:pStyle w:val="null3"/>
            </w:pPr>
            <w:r>
              <w:rPr>
                <w:sz w:val="21"/>
              </w:rPr>
              <w:t>3.2.6设置标识牌</w:t>
            </w:r>
          </w:p>
          <w:p>
            <w:pPr>
              <w:pStyle w:val="null3"/>
              <w:ind w:firstLine="420"/>
            </w:pPr>
            <w:r>
              <w:rPr>
                <w:sz w:val="21"/>
              </w:rPr>
              <w:t>在茶塘作业区设置</w:t>
            </w:r>
            <w:r>
              <w:rPr>
                <w:sz w:val="21"/>
              </w:rPr>
              <w:t>1个标识牌，将项目名称、项目规模、范围、面积、建设单位、建设日期等信息写于标识牌上，其规格为：高1.5米，宽2.0米，支柱长3.3米，直径8厘米，埋地0.8米，采用镀锌铁制作。</w:t>
            </w:r>
          </w:p>
          <w:p>
            <w:pPr>
              <w:pStyle w:val="null3"/>
            </w:pPr>
            <w:r>
              <w:rPr>
                <w:sz w:val="21"/>
              </w:rPr>
              <w:t>3.2.7进度要求</w:t>
            </w:r>
          </w:p>
          <w:p>
            <w:pPr>
              <w:pStyle w:val="null3"/>
            </w:pPr>
            <w:r>
              <w:rPr>
                <w:sz w:val="21"/>
              </w:rPr>
              <w:t xml:space="preserve">   签订合同后，成交供应商</w:t>
            </w:r>
            <w:r>
              <w:rPr>
                <w:sz w:val="21"/>
              </w:rPr>
              <w:t>15个工作日内进场施工人员须不少于10人，2024年6月底前完成阔叶树大径材培育示范林建设面积的50%以上，9月25日前全部完成。</w:t>
            </w:r>
          </w:p>
        </w:tc>
      </w:tr>
      <w:tr>
        <w:tc>
          <w:tcPr>
            <w:tcW w:type="dxa" w:w="2076"/>
          </w:tcPr>
          <w:p/>
        </w:tc>
        <w:tc>
          <w:tcPr>
            <w:tcW w:type="dxa" w:w="415"/>
          </w:tcPr>
          <w:p>
            <w:pPr>
              <w:pStyle w:val="null3"/>
            </w:pPr>
            <w:r>
              <w:rPr/>
              <w:t>4</w:t>
            </w:r>
          </w:p>
        </w:tc>
        <w:tc>
          <w:tcPr>
            <w:tcW w:type="dxa" w:w="5814"/>
          </w:tcPr>
          <w:p>
            <w:pPr>
              <w:pStyle w:val="null3"/>
            </w:pPr>
            <w:r>
              <w:rPr>
                <w:b/>
                <w:sz w:val="22"/>
              </w:rPr>
              <w:t>（</w:t>
            </w:r>
            <w:r>
              <w:rPr>
                <w:b/>
                <w:sz w:val="22"/>
              </w:rPr>
              <w:t>4）人员管理要求</w:t>
            </w:r>
          </w:p>
          <w:p>
            <w:pPr>
              <w:pStyle w:val="null3"/>
            </w:pPr>
            <w:r>
              <w:rPr>
                <w:sz w:val="21"/>
              </w:rPr>
              <w:t>4.1为使项目按质、按量、按时及有序实施，成交供应商应提供充足的技术人员投入到本服务项目开展工作，调整人员需经采购人同意。</w:t>
            </w:r>
          </w:p>
          <w:p>
            <w:pPr>
              <w:pStyle w:val="null3"/>
            </w:pPr>
            <w:r>
              <w:rPr>
                <w:sz w:val="21"/>
              </w:rPr>
              <w:t>4.2成交供应商须为本项目配备项目负责人，负责：①对项目内容、工作进度安排、协调进行统筹安排；②对项目成果在技术层面进行整体把握；③及时有效对接采购人，汇报工作内容。</w:t>
            </w:r>
          </w:p>
          <w:p>
            <w:pPr>
              <w:pStyle w:val="null3"/>
            </w:pPr>
            <w:r>
              <w:rPr>
                <w:sz w:val="21"/>
              </w:rPr>
              <w:t>4.3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pPr>
              <w:pStyle w:val="null3"/>
            </w:pPr>
            <w:r>
              <w:rPr>
                <w:sz w:val="21"/>
              </w:rPr>
              <w:t>4.4成交供应商在中标后，需要对工人进行安全培训和技术培训，确保安全生产及施工质量。</w:t>
            </w:r>
          </w:p>
          <w:p>
            <w:pPr>
              <w:pStyle w:val="null3"/>
            </w:pPr>
            <w:r>
              <w:rPr>
                <w:sz w:val="21"/>
              </w:rPr>
              <w:t>4.5成交供应商须对其雇员的人身安全负全部责任。服务期内，成交供应商的服务人员因执行本项目出现的伤亡，由成交供应商负责处理。</w:t>
            </w:r>
          </w:p>
          <w:p>
            <w:pPr>
              <w:pStyle w:val="null3"/>
            </w:pPr>
            <w:r>
              <w:rPr>
                <w:sz w:val="21"/>
              </w:rPr>
              <w:t>4.6服务期内，成交供应商的服务人员在执行服务中造成他人人身伤亡、财产损失的，由成交供应商负责处理。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广东省云浮林场</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从提交投标（响应）文件的截止之日起60日历天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采购机构代理服务收费标准：收费标准参照国家计委颁布的（计价格[2002]1980号）“服务招标”收费标准执行，收费金额按差额定率累进法计算</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简先生</w:t>
      </w:r>
    </w:p>
    <w:p>
      <w:pPr>
        <w:pStyle w:val="null3"/>
        <w:ind w:firstLine="480"/>
      </w:pPr>
      <w:r>
        <w:rPr/>
        <w:t>电话：</w:t>
      </w:r>
      <w:r>
        <w:rPr/>
        <w:t>0766-2922133</w:t>
      </w:r>
    </w:p>
    <w:p>
      <w:pPr>
        <w:pStyle w:val="null3"/>
        <w:ind w:firstLine="480"/>
      </w:pPr>
      <w:r>
        <w:rPr/>
        <w:t>传真：</w:t>
      </w:r>
      <w:r>
        <w:rPr/>
        <w:t>/</w:t>
      </w:r>
    </w:p>
    <w:p>
      <w:pPr>
        <w:pStyle w:val="null3"/>
        <w:ind w:firstLine="480"/>
      </w:pPr>
      <w:r>
        <w:rPr/>
        <w:t>邮箱：</w:t>
      </w:r>
      <w:r>
        <w:rPr/>
        <w:t>yfzczb@163.com</w:t>
      </w:r>
    </w:p>
    <w:p>
      <w:pPr>
        <w:pStyle w:val="null3"/>
        <w:ind w:firstLine="480"/>
      </w:pPr>
      <w:r>
        <w:rPr/>
        <w:t>地址：</w:t>
      </w:r>
      <w:r>
        <w:rPr/>
        <w:t>新兴县新城镇新洲大道南69号（城北商住区东区）第二层201室</w:t>
      </w:r>
    </w:p>
    <w:p>
      <w:pPr>
        <w:pStyle w:val="null3"/>
        <w:ind w:firstLine="480"/>
      </w:pPr>
      <w:r>
        <w:rPr/>
        <w:t>邮编：</w:t>
      </w:r>
      <w:r>
        <w:rPr/>
        <w:t>527400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广东省云浮林场2024年大径材培育示范林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云浮市中策招标咨询服务有限公司</w:t>
      </w:r>
      <w:r>
        <w:rPr/>
        <w:t>统一对外发布。</w:t>
      </w:r>
    </w:p>
    <w:p>
      <w:pPr>
        <w:pStyle w:val="null3"/>
        <w:ind w:firstLine="480"/>
      </w:pPr>
      <w:r>
        <w:rPr/>
        <w:t>（2）对</w:t>
      </w:r>
      <w:r>
        <w:rPr/>
        <w:t>云浮市中策招标咨询服务有限公司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采购包1（广东省云浮林场2024年大径材培育示范林建设项目）：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采购包1（广东省云浮林场2024年大径材培育示范林建设项目）：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提供法人或者其他组织的营业执照等证明文件复印件。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在响应文件中提供声明函。</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在响应文件中提供声明函。</w:t>
            </w:r>
          </w:p>
        </w:tc>
      </w:tr>
      <w:tr>
        <w:tc>
          <w:tcPr>
            <w:tcW w:type="dxa" w:w="890"/>
          </w:tcPr>
          <w:p>
            <w:pPr>
              <w:pStyle w:val="null3"/>
            </w:pPr>
            <w:r>
              <w:rPr/>
              <w:t>6</w:t>
            </w:r>
          </w:p>
        </w:tc>
        <w:tc>
          <w:tcPr>
            <w:tcW w:type="dxa" w:w="3178"/>
          </w:tcPr>
          <w:p>
            <w:pPr>
              <w:pStyle w:val="null3"/>
            </w:pPr>
            <w:r>
              <w:rPr/>
              <w:t>合同包1(广东省云浮林场2024年大径材培育示范林建设项目)特定资格要求如下</w:t>
            </w:r>
          </w:p>
        </w:tc>
        <w:tc>
          <w:tcPr>
            <w:tcW w:type="dxa" w:w="4238"/>
          </w:tcPr>
          <w:p>
            <w:pPr>
              <w:pStyle w:val="null3"/>
            </w:pPr>
            <w:r>
              <w:rPr/>
              <w:t>（1）供应商须具备法律、行政法规规定的其他条件：在响应文件中提供声明函。 （2）供应商须具有有效的造林绿化施工单位丙级（含丙级）以上资质证书，提供证书复印件并加盖供应商公章。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p>
    <w:p>
      <w:pPr>
        <w:pStyle w:val="null3"/>
      </w:pPr>
      <w:r>
        <w:rPr/>
        <w:t>采购包1（广东省云浮林场2024年大径材培育示范林建设项目）：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响应文件完整且总体编排有序，并按磋商文件规定要求签署、盖章的</w:t>
            </w:r>
          </w:p>
        </w:tc>
        <w:tc>
          <w:tcPr>
            <w:tcW w:type="dxa" w:w="4238"/>
          </w:tcPr>
          <w:p>
            <w:pPr>
              <w:pStyle w:val="null3"/>
            </w:pPr>
            <w:r>
              <w:rPr/>
              <w:t>响应文件完整且总体编排有序，并按磋商文件规定要求签署、盖章的</w:t>
            </w:r>
          </w:p>
        </w:tc>
      </w:tr>
      <w:tr>
        <w:tc>
          <w:tcPr>
            <w:tcW w:type="dxa" w:w="890"/>
          </w:tcPr>
          <w:p>
            <w:pPr>
              <w:pStyle w:val="null3"/>
            </w:pPr>
            <w:r>
              <w:rPr/>
              <w:t>2</w:t>
            </w:r>
          </w:p>
        </w:tc>
        <w:tc>
          <w:tcPr>
            <w:tcW w:type="dxa" w:w="3178"/>
          </w:tcPr>
          <w:p>
            <w:pPr>
              <w:pStyle w:val="null3"/>
            </w:pPr>
            <w:r>
              <w:rPr/>
              <w:t>响应文件有效期不少于60日历天</w:t>
            </w:r>
          </w:p>
        </w:tc>
        <w:tc>
          <w:tcPr>
            <w:tcW w:type="dxa" w:w="4238"/>
          </w:tcPr>
          <w:p>
            <w:pPr>
              <w:pStyle w:val="null3"/>
            </w:pPr>
            <w:r>
              <w:rPr/>
              <w:t>响应文件有效期不少于60日历天</w:t>
            </w:r>
          </w:p>
        </w:tc>
      </w:tr>
      <w:tr>
        <w:tc>
          <w:tcPr>
            <w:tcW w:type="dxa" w:w="890"/>
          </w:tcPr>
          <w:p>
            <w:pPr>
              <w:pStyle w:val="null3"/>
            </w:pPr>
            <w:r>
              <w:rPr/>
              <w:t>3</w:t>
            </w:r>
          </w:p>
        </w:tc>
        <w:tc>
          <w:tcPr>
            <w:tcW w:type="dxa" w:w="3178"/>
          </w:tcPr>
          <w:p>
            <w:pPr>
              <w:pStyle w:val="null3"/>
            </w:pPr>
            <w:r>
              <w:rPr/>
              <w:t>“★”号技术、商务条款的响应没有负偏离或不满足</w:t>
            </w:r>
          </w:p>
        </w:tc>
        <w:tc>
          <w:tcPr>
            <w:tcW w:type="dxa" w:w="4238"/>
          </w:tcPr>
          <w:p>
            <w:pPr>
              <w:pStyle w:val="null3"/>
            </w:pPr>
            <w:r>
              <w:rPr/>
              <w:t>“★”号技术、商务条款的响应没有负偏离或不满足</w:t>
            </w:r>
          </w:p>
        </w:tc>
      </w:tr>
      <w:tr>
        <w:tc>
          <w:tcPr>
            <w:tcW w:type="dxa" w:w="890"/>
          </w:tcPr>
          <w:p>
            <w:pPr>
              <w:pStyle w:val="null3"/>
            </w:pPr>
            <w:r>
              <w:rPr/>
              <w:t>4</w:t>
            </w:r>
          </w:p>
        </w:tc>
        <w:tc>
          <w:tcPr>
            <w:tcW w:type="dxa" w:w="3178"/>
          </w:tcPr>
          <w:p>
            <w:pPr>
              <w:pStyle w:val="null3"/>
            </w:pPr>
            <w:r>
              <w:rPr/>
              <w:t>报价是固定价且是唯一的，符合磋商文件规定的报价要求</w:t>
            </w:r>
          </w:p>
        </w:tc>
        <w:tc>
          <w:tcPr>
            <w:tcW w:type="dxa" w:w="4238"/>
          </w:tcPr>
          <w:p>
            <w:pPr>
              <w:pStyle w:val="null3"/>
            </w:pPr>
            <w:r>
              <w:rPr/>
              <w:t>报价是固定价且是唯一的，符合磋商文件规定的报价要求</w:t>
            </w:r>
          </w:p>
        </w:tc>
      </w:tr>
      <w:tr>
        <w:tc>
          <w:tcPr>
            <w:tcW w:type="dxa" w:w="890"/>
          </w:tcPr>
          <w:p>
            <w:pPr>
              <w:pStyle w:val="null3"/>
            </w:pPr>
            <w:r>
              <w:rPr/>
              <w:t>5</w:t>
            </w:r>
          </w:p>
        </w:tc>
        <w:tc>
          <w:tcPr>
            <w:tcW w:type="dxa" w:w="3178"/>
          </w:tcPr>
          <w:p>
            <w:pPr>
              <w:pStyle w:val="null3"/>
            </w:pPr>
            <w:r>
              <w:rPr/>
              <w:t>不存在低于成本价的报价或报价明显不合理而供应商不能合理说明的情况</w:t>
            </w:r>
          </w:p>
        </w:tc>
        <w:tc>
          <w:tcPr>
            <w:tcW w:type="dxa" w:w="4238"/>
          </w:tcPr>
          <w:p>
            <w:pPr>
              <w:pStyle w:val="null3"/>
            </w:pPr>
            <w:r>
              <w:rPr/>
              <w:t>不存在低于成本价的报价或报价明显不合理而供应商不能合理说明的情况</w:t>
            </w:r>
          </w:p>
        </w:tc>
      </w:tr>
      <w:tr>
        <w:tc>
          <w:tcPr>
            <w:tcW w:type="dxa" w:w="890"/>
          </w:tcPr>
          <w:p>
            <w:pPr>
              <w:pStyle w:val="null3"/>
            </w:pPr>
            <w:r>
              <w:rPr/>
              <w:t>6</w:t>
            </w:r>
          </w:p>
        </w:tc>
        <w:tc>
          <w:tcPr>
            <w:tcW w:type="dxa" w:w="3178"/>
          </w:tcPr>
          <w:p>
            <w:pPr>
              <w:pStyle w:val="null3"/>
            </w:pPr>
            <w:r>
              <w:rPr/>
              <w:t>没有出现磋商文件规定的被视为无效响应的其它情形</w:t>
            </w:r>
          </w:p>
        </w:tc>
        <w:tc>
          <w:tcPr>
            <w:tcW w:type="dxa" w:w="4238"/>
          </w:tcPr>
          <w:p>
            <w:pPr>
              <w:pStyle w:val="null3"/>
            </w:pPr>
            <w:r>
              <w:rPr/>
              <w:t>没有出现磋商文件规定的被视为无效响应的其它情形</w:t>
            </w:r>
          </w:p>
        </w:tc>
      </w:tr>
      <w:tr>
        <w:tc>
          <w:tcPr>
            <w:tcW w:type="dxa" w:w="890"/>
          </w:tcPr>
          <w:p>
            <w:pPr>
              <w:pStyle w:val="null3"/>
            </w:pPr>
            <w:r>
              <w:rPr/>
              <w:t>7</w:t>
            </w:r>
          </w:p>
        </w:tc>
        <w:tc>
          <w:tcPr>
            <w:tcW w:type="dxa" w:w="3178"/>
          </w:tcPr>
          <w:p>
            <w:pPr>
              <w:pStyle w:val="null3"/>
            </w:pPr>
            <w:r>
              <w:rPr/>
              <w:t>没有不符合法律、法规规定的其他实质性要求的</w:t>
            </w:r>
          </w:p>
        </w:tc>
        <w:tc>
          <w:tcPr>
            <w:tcW w:type="dxa" w:w="4238"/>
          </w:tcPr>
          <w:p>
            <w:pPr>
              <w:pStyle w:val="null3"/>
            </w:pPr>
            <w:r>
              <w:rPr/>
              <w:t>没有不符合法律、法规规定的其他实质性要求的</w:t>
            </w:r>
          </w:p>
        </w:tc>
      </w:tr>
      <w:tr>
        <w:tc>
          <w:tcPr>
            <w:tcW w:type="dxa" w:w="890"/>
          </w:tcPr>
          <w:p>
            <w:pPr>
              <w:pStyle w:val="null3"/>
            </w:pPr>
            <w:r>
              <w:rPr/>
              <w:t>8</w:t>
            </w:r>
          </w:p>
        </w:tc>
        <w:tc>
          <w:tcPr>
            <w:tcW w:type="dxa" w:w="3178"/>
          </w:tcPr>
          <w:p>
            <w:pPr>
              <w:pStyle w:val="null3"/>
            </w:pPr>
            <w:r>
              <w:rPr/>
              <w:t>响应文件不含有采购人不能接受的附加条件</w:t>
            </w:r>
          </w:p>
        </w:tc>
        <w:tc>
          <w:tcPr>
            <w:tcW w:type="dxa" w:w="4238"/>
          </w:tcPr>
          <w:p>
            <w:pPr>
              <w:pStyle w:val="null3"/>
            </w:pPr>
            <w:r>
              <w:rPr/>
              <w:t>响应文件不含有采购人不能接受的附加条件</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采购包1(广东省云浮林场2024年大径材培育示范林建设项目):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(2.0分)</w:t>
            </w:r>
            <w:r>
              <w:rPr/>
              <w:t>，（等次分值选择：</w:t>
            </w:r>
            <w:r>
              <w:rPr/>
              <w:t>0.0;</w:t>
            </w:r>
            <w:r>
              <w:rPr/>
              <w:t>1.0;</w:t>
            </w:r>
            <w:r>
              <w:rPr/>
              <w:t>2.0;</w:t>
            </w:r>
            <w:r>
              <w:rPr/>
              <w:t>）</w:t>
            </w:r>
          </w:p>
        </w:tc>
        <w:tc>
          <w:tcPr>
            <w:tcW w:type="dxa" w:w="5076"/>
          </w:tcPr>
          <w:p>
            <w:pPr>
              <w:pStyle w:val="null3"/>
              <w:jc w:val="left"/>
            </w:pPr>
            <w:r>
              <w:rPr/>
              <w:t>考查各供应商对“第二章 采购需求”中“1.主要商务要求”和“2.技术标准与要求”的非“★”项条款的响应情况： （1）响应完全的，得2分； （2）响应不完全，有部分缺漏的，得1分； （3）响应缺漏严重的，得0分。</w:t>
            </w:r>
          </w:p>
        </w:tc>
      </w:tr>
      <w:tr>
        <w:tc>
          <w:tcPr>
            <w:tcW w:type="dxa" w:w="922"/>
            <w:gridSpan w:val="2"/>
            <w:vMerge/>
          </w:tcPr>
          <w:p/>
        </w:tc>
        <w:tc>
          <w:tcPr>
            <w:tcW w:type="dxa" w:w="2307"/>
          </w:tcPr>
          <w:p>
            <w:pPr>
              <w:pStyle w:val="null3"/>
              <w:jc w:val="left"/>
            </w:pPr>
            <w:r>
              <w:rPr/>
              <w:t>对本项目的理解、项目现状的认识和项目重难点分析 (10.0分)</w:t>
            </w:r>
            <w:r>
              <w:rPr/>
              <w:t>，（等次分值选择：</w:t>
            </w:r>
            <w:r>
              <w:rPr/>
              <w:t>0.0;</w:t>
            </w:r>
            <w:r>
              <w:rPr/>
              <w:t>2.0;</w:t>
            </w:r>
            <w:r>
              <w:rPr/>
              <w:t>5.0;</w:t>
            </w:r>
            <w:r>
              <w:rPr/>
              <w:t>8.0;</w:t>
            </w:r>
            <w:r>
              <w:rPr/>
              <w:t>10.0;</w:t>
            </w:r>
            <w:r>
              <w:rPr/>
              <w:t>）</w:t>
            </w:r>
          </w:p>
        </w:tc>
        <w:tc>
          <w:tcPr>
            <w:tcW w:type="dxa" w:w="5076"/>
          </w:tcPr>
          <w:p>
            <w:pPr>
              <w:pStyle w:val="null3"/>
              <w:jc w:val="left"/>
            </w:pPr>
            <w:r>
              <w:rPr/>
              <w:t>由磋商小组根据供应商对本项目的理解、项目现状的认识和项目重难点分析进行综合评审： （1）对本项目的理解透彻，项目现状的认识清晰并能制定具体可行的实施方案，重难点分析准确并制定可实施性强、技术操作性高的解决方案，切合本项目具体需求的，得10分； （2）对本项目有较好的理解，项目现状的认识较清晰并能制定较具体可行的实施方案，重难点分析较准确，制定的解决方案可实施性较强、技术操作性较高，较为符合本项目具体需求的，得8分； （3）对本项目的理解和项目现状的认识较浅，制定的实施方案基本可行，重难点分析基本准确，制定的解决方案的可实施性、技术操作性一般，基本符合本项目具体需求的，得5分； （4）对本项目的理解和项目现状的认识有偏差，制定的实施方案欠缺可行性，重难点分析不准确，制定的解决方案的可实施性、技术操作性较差，不太符合本项目具体需求的，得2分； （5）无提供方案的不得分。</w:t>
            </w:r>
          </w:p>
        </w:tc>
      </w:tr>
      <w:tr>
        <w:tc>
          <w:tcPr>
            <w:tcW w:type="dxa" w:w="922"/>
            <w:gridSpan w:val="2"/>
            <w:vMerge/>
          </w:tcPr>
          <w:p/>
        </w:tc>
        <w:tc>
          <w:tcPr>
            <w:tcW w:type="dxa" w:w="2307"/>
          </w:tcPr>
          <w:p>
            <w:pPr>
              <w:pStyle w:val="null3"/>
              <w:jc w:val="left"/>
            </w:pPr>
            <w:r>
              <w:rPr/>
              <w:t>实施进度计划和各阶段进度的保证措施及违约责任承诺 (10.0分)</w:t>
            </w:r>
            <w:r>
              <w:rPr/>
              <w:t>，（等次分值选择：</w:t>
            </w:r>
            <w:r>
              <w:rPr/>
              <w:t>0.0;</w:t>
            </w:r>
            <w:r>
              <w:rPr/>
              <w:t>2.0;</w:t>
            </w:r>
            <w:r>
              <w:rPr/>
              <w:t>5.0;</w:t>
            </w:r>
            <w:r>
              <w:rPr/>
              <w:t>8.0;</w:t>
            </w:r>
            <w:r>
              <w:rPr/>
              <w:t>10.0;</w:t>
            </w:r>
            <w:r>
              <w:rPr/>
              <w:t>）</w:t>
            </w:r>
          </w:p>
        </w:tc>
        <w:tc>
          <w:tcPr>
            <w:tcW w:type="dxa" w:w="5076"/>
          </w:tcPr>
          <w:p>
            <w:pPr>
              <w:pStyle w:val="null3"/>
              <w:jc w:val="left"/>
            </w:pPr>
            <w:r>
              <w:rPr/>
              <w:t>由磋商小组根据供应商制定的实施进度计划和各阶段进度的保证措施及违约责任承诺进行综合评审： （1）针对本项目制定的实施进度计划和各阶段进度的保证措施切实可行，进度安排合理，保证措施完善，制定的违约责任承诺具体可靠的，得10分； （2）针对本项目制定的实施进度计划和各阶段进度的保证措施可行性较高，进度安排较合理，保证措施较完善，制定的违约责任承诺较具体可靠的，得8分； （3）针对本项目制定的实施进度计划和各阶段进度的保证措施可行性一般，进度安排基本合理，有一定的保证措施，制定的违约责任承诺基本具体的，得5分； （4）针对本项目制定的实施进度计划和各阶段进度的保证措施可行性较差，进度安排欠合理，保证措施不完善，制定的违约责任承诺笼统的，得2分； （5）无提供方案的不得分。</w:t>
            </w:r>
          </w:p>
        </w:tc>
      </w:tr>
      <w:tr>
        <w:tc>
          <w:tcPr>
            <w:tcW w:type="dxa" w:w="922"/>
            <w:gridSpan w:val="2"/>
            <w:vMerge/>
          </w:tcPr>
          <w:p/>
        </w:tc>
        <w:tc>
          <w:tcPr>
            <w:tcW w:type="dxa" w:w="2307"/>
          </w:tcPr>
          <w:p>
            <w:pPr>
              <w:pStyle w:val="null3"/>
              <w:jc w:val="left"/>
            </w:pPr>
            <w:r>
              <w:rPr/>
              <w:t>质量保证措施及相关服务承诺 (6.0分)</w:t>
            </w:r>
            <w:r>
              <w:rPr/>
              <w:t>，（等次分值选择：</w:t>
            </w:r>
            <w:r>
              <w:rPr/>
              <w:t>0.0;</w:t>
            </w:r>
            <w:r>
              <w:rPr/>
              <w:t>2.0;</w:t>
            </w:r>
            <w:r>
              <w:rPr/>
              <w:t>4.0;</w:t>
            </w:r>
            <w:r>
              <w:rPr/>
              <w:t>6.0;</w:t>
            </w:r>
            <w:r>
              <w:rPr/>
              <w:t>）</w:t>
            </w:r>
          </w:p>
        </w:tc>
        <w:tc>
          <w:tcPr>
            <w:tcW w:type="dxa" w:w="5076"/>
          </w:tcPr>
          <w:p>
            <w:pPr>
              <w:pStyle w:val="null3"/>
              <w:jc w:val="left"/>
            </w:pPr>
            <w:r>
              <w:rPr/>
              <w:t>由磋商小组根据供应商提供的质量保证措施及相关服务承诺进行综合评审： （1）质量保证措施完善，质量问题解决方案清晰具体、可行性高，违约赔偿承诺明确，得6分； （2）质量保证措施基本完善，质量问题解决方案的清晰性、可行性一般，违约赔偿承诺基本明确，得4分； （3）质量保证措施不完善，质量问题解决方案的清晰性、可行性较差，违约赔偿承诺不明确，得2分； （4）无提供方案的不得分。</w:t>
            </w:r>
          </w:p>
        </w:tc>
      </w:tr>
      <w:tr>
        <w:tc>
          <w:tcPr>
            <w:tcW w:type="dxa" w:w="922"/>
            <w:gridSpan w:val="2"/>
            <w:vMerge/>
          </w:tcPr>
          <w:p/>
        </w:tc>
        <w:tc>
          <w:tcPr>
            <w:tcW w:type="dxa" w:w="2307"/>
          </w:tcPr>
          <w:p>
            <w:pPr>
              <w:pStyle w:val="null3"/>
              <w:jc w:val="left"/>
            </w:pPr>
            <w:r>
              <w:rPr/>
              <w:t>应急处理方案 (7.0分)</w:t>
            </w:r>
            <w:r>
              <w:rPr/>
              <w:t>，（等次分值选择：</w:t>
            </w:r>
            <w:r>
              <w:rPr/>
              <w:t>0.0;</w:t>
            </w:r>
            <w:r>
              <w:rPr/>
              <w:t>2.0;</w:t>
            </w:r>
            <w:r>
              <w:rPr/>
              <w:t>5.0;</w:t>
            </w:r>
            <w:r>
              <w:rPr/>
              <w:t>7.0;</w:t>
            </w:r>
            <w:r>
              <w:rPr/>
              <w:t>）</w:t>
            </w:r>
          </w:p>
        </w:tc>
        <w:tc>
          <w:tcPr>
            <w:tcW w:type="dxa" w:w="5076"/>
          </w:tcPr>
          <w:p>
            <w:pPr>
              <w:pStyle w:val="null3"/>
              <w:jc w:val="left"/>
            </w:pPr>
            <w:r>
              <w:rPr/>
              <w:t>由磋商小组根据供应商应对突发事件（自然灾害等）的处理方案和应急检查预案进行综合评审： （1）应对突发事件（自然灾害等）的处理方案和应急检查预案考虑全面、详细可行，得7分； （2）应对突发事件（自然灾害等）的处理方案和应急检查预案考虑基本全面、可行性一般，得5分； （3）应对突发事件（自然灾害等）的处理方案和应急检查预案考虑不够全面、可行性较差，得2分； （4）无提供方案的不得分。</w:t>
            </w:r>
          </w:p>
        </w:tc>
      </w:tr>
      <w:tr>
        <w:tc>
          <w:tcPr>
            <w:tcW w:type="dxa" w:w="922"/>
            <w:gridSpan w:val="2"/>
            <w:vMerge/>
          </w:tcPr>
          <w:p/>
        </w:tc>
        <w:tc>
          <w:tcPr>
            <w:tcW w:type="dxa" w:w="2307"/>
          </w:tcPr>
          <w:p>
            <w:pPr>
              <w:pStyle w:val="null3"/>
              <w:jc w:val="left"/>
            </w:pPr>
            <w:r>
              <w:rPr/>
              <w:t>投入人员数量 (5.0分)</w:t>
            </w:r>
          </w:p>
        </w:tc>
        <w:tc>
          <w:tcPr>
            <w:tcW w:type="dxa" w:w="5076"/>
          </w:tcPr>
          <w:p>
            <w:pPr>
              <w:pStyle w:val="null3"/>
              <w:jc w:val="left"/>
            </w:pPr>
            <w:r>
              <w:rPr/>
              <w:t>为保证服务质量，供应商须投入不少于25名作业人员到本项目，在此基础上，每增加一人得0.5分，本项最高得5分。 【备注：响应文件中须提供投入作业人员清单及供应商为作业人员购买的近三个月工伤保险或社保或相关保险的证明材料复印件并加盖供应商公章，不提供不得分。】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森林抚育项目业绩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供应商自2021年以来（以合同签订时间为准）承接过森林抚育项目（大径材培育项目除外）业绩的：每提供1个得2分，本项最高得10分。 【备注：响应文件中须提供合同关键页复印件并加盖供应商公章，不提供不得分。】</w:t>
            </w:r>
          </w:p>
        </w:tc>
      </w:tr>
      <w:tr>
        <w:tc>
          <w:tcPr>
            <w:tcW w:type="dxa" w:w="922"/>
            <w:gridSpan w:val="2"/>
            <w:vMerge/>
          </w:tcPr>
          <w:p/>
        </w:tc>
        <w:tc>
          <w:tcPr>
            <w:tcW w:type="dxa" w:w="2307"/>
          </w:tcPr>
          <w:p>
            <w:pPr>
              <w:pStyle w:val="null3"/>
              <w:jc w:val="left"/>
            </w:pPr>
            <w:r>
              <w:rPr/>
              <w:t>大径材培育项目业绩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供应商自2021年以来（以合同签订时间为准）承接过大径材培育项目业绩的：每提供1个得2分，本项最高得10分。 【备注：响应文件中须提供合同关键页复印件并加盖供应商公章，不提供不得分。】</w:t>
            </w:r>
          </w:p>
        </w:tc>
      </w:tr>
      <w:tr>
        <w:tc>
          <w:tcPr>
            <w:tcW w:type="dxa" w:w="922"/>
            <w:gridSpan w:val="2"/>
            <w:vMerge/>
          </w:tcPr>
          <w:p/>
        </w:tc>
        <w:tc>
          <w:tcPr>
            <w:tcW w:type="dxa" w:w="2307"/>
          </w:tcPr>
          <w:p>
            <w:pPr>
              <w:pStyle w:val="null3"/>
              <w:jc w:val="left"/>
            </w:pPr>
            <w:r>
              <w:rPr/>
              <w:t>供应商综合实力 (5.0分)</w:t>
            </w:r>
            <w:r>
              <w:rPr/>
              <w:t>，（等次分值选择：</w:t>
            </w:r>
            <w:r>
              <w:rPr/>
              <w:t>0.0;</w:t>
            </w:r>
            <w:r>
              <w:rPr/>
              <w:t>1.0;</w:t>
            </w:r>
            <w:r>
              <w:rPr/>
              <w:t>2.0;</w:t>
            </w:r>
            <w:r>
              <w:rPr/>
              <w:t>3.0;</w:t>
            </w:r>
            <w:r>
              <w:rPr/>
              <w:t>4.0;</w:t>
            </w:r>
            <w:r>
              <w:rPr/>
              <w:t>5.0;</w:t>
            </w:r>
            <w:r>
              <w:rPr/>
              <w:t>）</w:t>
            </w:r>
          </w:p>
        </w:tc>
        <w:tc>
          <w:tcPr>
            <w:tcW w:type="dxa" w:w="5076"/>
          </w:tcPr>
          <w:p>
            <w:pPr>
              <w:pStyle w:val="null3"/>
              <w:jc w:val="left"/>
            </w:pPr>
            <w:r>
              <w:rPr/>
              <w:t>1、供应商具有林业有害生物防治丙级或以上资质证书的，得1分。 2、为确保供应商具备依据作业设计内容对现场实际状况作出变化的能力，供应商具有林业调查规划设计丙级或以上资质证书的，得1分。 3、供应商自2021年以来获得过市级或以上营造林工程类（含森林抚育类）奖项的，每获得一个得1分，本小项最高得3分。 【备注：响应文件中须提供以上证书、奖项相关证明材料复印件并加盖供应商公章，不提供不得分。】</w:t>
            </w:r>
          </w:p>
        </w:tc>
      </w:tr>
      <w:tr>
        <w:tc>
          <w:tcPr>
            <w:tcW w:type="dxa" w:w="922"/>
            <w:gridSpan w:val="2"/>
            <w:vMerge/>
          </w:tcPr>
          <w:p/>
        </w:tc>
        <w:tc>
          <w:tcPr>
            <w:tcW w:type="dxa" w:w="2307"/>
          </w:tcPr>
          <w:p>
            <w:pPr>
              <w:pStyle w:val="null3"/>
              <w:jc w:val="left"/>
            </w:pPr>
            <w:r>
              <w:rPr/>
              <w:t>体系认证 (4.0分)</w:t>
            </w:r>
            <w:r>
              <w:rPr/>
              <w:t>，（等次分值选择：</w:t>
            </w:r>
            <w:r>
              <w:rPr/>
              <w:t>0.0;</w:t>
            </w:r>
            <w:r>
              <w:rPr/>
              <w:t>1.0;</w:t>
            </w:r>
            <w:r>
              <w:rPr/>
              <w:t>2.0;</w:t>
            </w:r>
            <w:r>
              <w:rPr/>
              <w:t>3.0;</w:t>
            </w:r>
            <w:r>
              <w:rPr/>
              <w:t>4.0;</w:t>
            </w:r>
            <w:r>
              <w:rPr/>
              <w:t>）</w:t>
            </w:r>
          </w:p>
        </w:tc>
        <w:tc>
          <w:tcPr>
            <w:tcW w:type="dxa" w:w="5076"/>
          </w:tcPr>
          <w:p>
            <w:pPr>
              <w:pStyle w:val="null3"/>
              <w:jc w:val="left"/>
            </w:pPr>
            <w:r>
              <w:rPr/>
              <w:t>供应商具有质量管理体系认证证书、环境管理体系认证证书、职业健康安全管理体系认证证书、企业诚信管理体系认证证书的：每提供一个得1分，本项最高得4分。 【备注：响应文件中须提供有效的认证证书复印件和全国认证认可信息公共服务平台（网址：http://cx.cnca.cn/）网页查询结果截图（证书处于有效状态）并加盖供应商公章，不提供不得分。】</w:t>
            </w:r>
          </w:p>
        </w:tc>
      </w:tr>
      <w:tr>
        <w:tc>
          <w:tcPr>
            <w:tcW w:type="dxa" w:w="922"/>
            <w:gridSpan w:val="2"/>
            <w:vMerge/>
          </w:tcPr>
          <w:p/>
        </w:tc>
        <w:tc>
          <w:tcPr>
            <w:tcW w:type="dxa" w:w="2307"/>
          </w:tcPr>
          <w:p>
            <w:pPr>
              <w:pStyle w:val="null3"/>
              <w:jc w:val="left"/>
            </w:pPr>
            <w:r>
              <w:rPr/>
              <w:t>项目团队资质 (5.0分)</w:t>
            </w:r>
            <w:r>
              <w:rPr/>
              <w:t>，（等次分值选择：</w:t>
            </w:r>
            <w:r>
              <w:rPr/>
              <w:t>0.0;</w:t>
            </w:r>
            <w:r>
              <w:rPr/>
              <w:t>1.0;</w:t>
            </w:r>
            <w:r>
              <w:rPr/>
              <w:t>2.0;</w:t>
            </w:r>
            <w:r>
              <w:rPr/>
              <w:t>3.0;</w:t>
            </w:r>
            <w:r>
              <w:rPr/>
              <w:t>4.0;</w:t>
            </w:r>
            <w:r>
              <w:rPr/>
              <w:t>5.0;</w:t>
            </w:r>
            <w:r>
              <w:rPr/>
              <w:t>）</w:t>
            </w:r>
          </w:p>
        </w:tc>
        <w:tc>
          <w:tcPr>
            <w:tcW w:type="dxa" w:w="5076"/>
          </w:tcPr>
          <w:p>
            <w:pPr>
              <w:pStyle w:val="null3"/>
              <w:jc w:val="left"/>
            </w:pPr>
            <w:r>
              <w:rPr/>
              <w:t>1、本项目的项目负责人具有高级林业工程师职称的，得3分。 2、本项目团队中（不含项目负责人）：具有与林业或园林相关的高级工程师职称的，得2分；具有与林业或园林相关的中级工程师职称的，得1分；本小项最高得2分。 【备注：响应文件中须提供以上人员职称证书复印件并加盖供应商公章，不提供不得分。】</w:t>
            </w:r>
          </w:p>
        </w:tc>
      </w:tr>
      <w:tr>
        <w:tc>
          <w:tcPr>
            <w:tcW w:type="dxa" w:w="922"/>
            <w:gridSpan w:val="2"/>
            <w:vMerge/>
          </w:tcPr>
          <w:p/>
        </w:tc>
        <w:tc>
          <w:tcPr>
            <w:tcW w:type="dxa" w:w="2307"/>
          </w:tcPr>
          <w:p>
            <w:pPr>
              <w:pStyle w:val="null3"/>
              <w:jc w:val="left"/>
            </w:pPr>
            <w:r>
              <w:rPr/>
              <w:t>履约便利程度 (6.0分)</w:t>
            </w:r>
            <w:r>
              <w:rPr/>
              <w:t>，（等次分值选择：</w:t>
            </w:r>
            <w:r>
              <w:rPr/>
              <w:t>0.0;</w:t>
            </w:r>
            <w:r>
              <w:rPr/>
              <w:t>2.0;</w:t>
            </w:r>
            <w:r>
              <w:rPr/>
              <w:t>4.0;</w:t>
            </w:r>
            <w:r>
              <w:rPr/>
              <w:t>6.0;</w:t>
            </w:r>
            <w:r>
              <w:rPr/>
              <w:t>）</w:t>
            </w:r>
          </w:p>
        </w:tc>
        <w:tc>
          <w:tcPr>
            <w:tcW w:type="dxa" w:w="5076"/>
          </w:tcPr>
          <w:p>
            <w:pPr>
              <w:pStyle w:val="null3"/>
              <w:jc w:val="left"/>
            </w:pPr>
            <w:r>
              <w:rPr/>
              <w:t>1、供应商承诺项目完成后半年内可以提供远程技术咨询的，得2分。 2、供应商承诺项目实施期限内在项目所在地设置项目部并安排24小时紧急联系人的，得4分。 【备注：响应文件中须提供承诺函并加盖供应商公章，不提供不得分。】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both"/>
      </w:pPr>
      <w:r>
        <w:rPr>
          <w:b/>
          <w:sz w:val="21"/>
        </w:rPr>
        <w:t>注：</w:t>
      </w:r>
    </w:p>
    <w:p>
      <w:pPr>
        <w:pStyle w:val="null3"/>
        <w:ind w:firstLine="480"/>
        <w:jc w:val="both"/>
      </w:pPr>
      <w:r>
        <w:rPr>
          <w:b/>
          <w:sz w:val="21"/>
        </w:rPr>
        <w:t>1、本合同仅为合同的参考文本，合同签订双方应按照磋商文件的要求和响应文件的承诺进行修订。</w:t>
      </w:r>
    </w:p>
    <w:p>
      <w:pPr>
        <w:pStyle w:val="null3"/>
        <w:ind w:firstLine="480"/>
        <w:jc w:val="both"/>
      </w:pPr>
      <w:r>
        <w:rPr>
          <w:b/>
          <w:sz w:val="21"/>
        </w:rPr>
        <w:t>2、根据《关于印发&lt;政府采购促进中小企业发展管理办法&gt;的通知》（财库〔2020〕46号），本合同为中小企业预留合同。</w:t>
      </w:r>
    </w:p>
    <w:p>
      <w:pPr>
        <w:pStyle w:val="null3"/>
        <w:ind w:firstLine="5040"/>
        <w:jc w:val="right"/>
      </w:pPr>
      <w:r>
        <w:rPr/>
        <w:t xml:space="preserve"> </w:t>
      </w:r>
    </w:p>
    <w:p>
      <w:pPr>
        <w:pStyle w:val="null3"/>
        <w:ind w:firstLine="5040"/>
        <w:jc w:val="right"/>
      </w:pPr>
      <w:r>
        <w:rPr>
          <w:sz w:val="24"/>
        </w:rPr>
        <w:t>合同编号：</w:t>
      </w:r>
      <w:r>
        <w:rPr>
          <w:sz w:val="24"/>
        </w:rPr>
        <w:t>2024−资−  号</w:t>
      </w:r>
    </w:p>
    <w:p>
      <w:pPr>
        <w:pStyle w:val="null3"/>
        <w:ind w:firstLine="480"/>
        <w:jc w:val="center"/>
      </w:pPr>
    </w:p>
    <w:p>
      <w:pPr>
        <w:pStyle w:val="null3"/>
        <w:ind w:firstLine="480"/>
        <w:jc w:val="center"/>
      </w:pPr>
      <w:r>
        <w:rPr/>
        <w:t xml:space="preserve"> </w:t>
      </w:r>
    </w:p>
    <w:p>
      <w:pPr>
        <w:pStyle w:val="null3"/>
        <w:ind w:firstLine="480"/>
        <w:jc w:val="center"/>
      </w:pPr>
      <w:r>
        <w:rPr>
          <w:b/>
          <w:sz w:val="28"/>
        </w:rPr>
        <w:t>广东省云浮林场</w:t>
      </w:r>
      <w:r>
        <w:rPr>
          <w:b/>
          <w:sz w:val="28"/>
        </w:rPr>
        <w:t>2024年大径材培育示范林建设项目合同</w:t>
      </w:r>
    </w:p>
    <w:p>
      <w:pPr>
        <w:pStyle w:val="null3"/>
        <w:ind w:firstLine="480"/>
        <w:jc w:val="center"/>
      </w:pPr>
    </w:p>
    <w:p>
      <w:pPr>
        <w:pStyle w:val="null3"/>
        <w:ind w:firstLine="480"/>
        <w:jc w:val="center"/>
      </w:pPr>
    </w:p>
    <w:p>
      <w:pPr>
        <w:pStyle w:val="null3"/>
      </w:pPr>
      <w:r>
        <w:rPr/>
        <w:t xml:space="preserve"> </w:t>
      </w:r>
    </w:p>
    <w:p>
      <w:pPr>
        <w:pStyle w:val="null3"/>
      </w:pPr>
      <w:r>
        <w:rPr>
          <w:sz w:val="21"/>
        </w:rPr>
        <w:t>发包方：广东省云浮林场（以下简称甲方）</w:t>
      </w:r>
    </w:p>
    <w:p>
      <w:pPr>
        <w:pStyle w:val="null3"/>
      </w:pPr>
      <w:r>
        <w:rPr>
          <w:sz w:val="21"/>
        </w:rPr>
        <w:t>承包方：</w:t>
      </w:r>
      <w:r>
        <w:rPr>
          <w:sz w:val="21"/>
        </w:rPr>
        <w:t xml:space="preserve">             </w:t>
      </w:r>
      <w:r>
        <w:rPr>
          <w:sz w:val="21"/>
        </w:rPr>
        <w:t>（以下简称乙方）</w:t>
      </w:r>
    </w:p>
    <w:p>
      <w:pPr>
        <w:pStyle w:val="null3"/>
        <w:ind w:firstLine="420"/>
      </w:pPr>
    </w:p>
    <w:p>
      <w:pPr>
        <w:pStyle w:val="null3"/>
        <w:ind w:firstLine="420"/>
      </w:pPr>
      <w:r>
        <w:rPr>
          <w:sz w:val="21"/>
        </w:rPr>
        <w:t>为顺利完成广东省云浮林场</w:t>
      </w:r>
      <w:r>
        <w:rPr>
          <w:sz w:val="21"/>
        </w:rPr>
        <w:t>2024年大径材培育示范林建设任务，发挥项目效益，根据《中华人民共和国民法典合同编》规定及采购招标结果，经甲乙双方协商一致，制定如下条款，以兹共同遵守。</w:t>
      </w:r>
    </w:p>
    <w:p>
      <w:pPr>
        <w:pStyle w:val="null3"/>
        <w:ind w:firstLine="422"/>
      </w:pPr>
      <w:r>
        <w:rPr>
          <w:b/>
          <w:sz w:val="21"/>
        </w:rPr>
        <w:t>第一条</w:t>
      </w:r>
      <w:r>
        <w:rPr>
          <w:b/>
          <w:sz w:val="21"/>
        </w:rPr>
        <w:t xml:space="preserve"> </w:t>
      </w:r>
      <w:r>
        <w:rPr>
          <w:b/>
          <w:sz w:val="21"/>
        </w:rPr>
        <w:t>工程施工地段及任务</w:t>
      </w:r>
    </w:p>
    <w:p>
      <w:pPr>
        <w:pStyle w:val="null3"/>
        <w:ind w:firstLine="420"/>
      </w:pPr>
      <w:r>
        <w:rPr>
          <w:sz w:val="21"/>
        </w:rPr>
        <w:t>1、2024年大径材培育示范林建设总面积5088亩，</w:t>
      </w:r>
      <w:r>
        <w:rPr>
          <w:sz w:val="21"/>
        </w:rPr>
        <w:t>按工序划分割灌除草</w:t>
      </w:r>
      <w:r>
        <w:rPr>
          <w:sz w:val="21"/>
        </w:rPr>
        <w:t>5088亩，间伐（疏伐）4623亩，修枝1755亩，施肥465亩。</w:t>
      </w:r>
      <w:r>
        <w:rPr>
          <w:sz w:val="21"/>
        </w:rPr>
        <w:t>（具体施工小班详见作业设计）</w:t>
      </w:r>
    </w:p>
    <w:p>
      <w:pPr>
        <w:pStyle w:val="null3"/>
        <w:ind w:firstLine="420"/>
      </w:pPr>
      <w:r>
        <w:rPr>
          <w:sz w:val="21"/>
        </w:rPr>
        <w:t>2、新建步道4公里，新开运材道1公里，新建涵桥和便桥各1座。维修作业区道路。</w:t>
      </w:r>
    </w:p>
    <w:p>
      <w:pPr>
        <w:pStyle w:val="null3"/>
        <w:ind w:firstLine="420"/>
      </w:pPr>
      <w:r>
        <w:rPr>
          <w:sz w:val="21"/>
        </w:rPr>
        <w:t>3、设置1套宣教设施，包括：2个大型宣传牌（宣传栏），4个标识牌、5条横幅。</w:t>
      </w:r>
    </w:p>
    <w:p>
      <w:pPr>
        <w:pStyle w:val="null3"/>
        <w:ind w:firstLine="422"/>
      </w:pPr>
      <w:r>
        <w:rPr>
          <w:b/>
          <w:sz w:val="21"/>
        </w:rPr>
        <w:t>第二条</w:t>
      </w:r>
      <w:r>
        <w:rPr>
          <w:b/>
          <w:sz w:val="21"/>
        </w:rPr>
        <w:t xml:space="preserve"> </w:t>
      </w:r>
      <w:r>
        <w:rPr>
          <w:b/>
          <w:sz w:val="21"/>
        </w:rPr>
        <w:t>工程进度要求</w:t>
      </w:r>
    </w:p>
    <w:p>
      <w:pPr>
        <w:pStyle w:val="null3"/>
        <w:ind w:firstLine="420"/>
      </w:pPr>
      <w:r>
        <w:rPr>
          <w:sz w:val="21"/>
        </w:rPr>
        <w:t>具体工程进度要求如下：</w:t>
      </w:r>
    </w:p>
    <w:p>
      <w:pPr>
        <w:pStyle w:val="null3"/>
        <w:ind w:firstLine="420"/>
      </w:pPr>
      <w:r>
        <w:rPr>
          <w:sz w:val="21"/>
        </w:rPr>
        <w:t>签订合同后，乙方</w:t>
      </w:r>
      <w:r>
        <w:rPr>
          <w:sz w:val="21"/>
        </w:rPr>
        <w:t>15个工作日内进场施工人员必须达到25人以上，2024年6月30日之前完成大径材培育总面积的50%以上，2024年9月25日之前完成大径材培育示范林建设全部任务。</w:t>
      </w:r>
    </w:p>
    <w:p>
      <w:pPr>
        <w:pStyle w:val="null3"/>
        <w:ind w:firstLine="420"/>
      </w:pPr>
      <w:r>
        <w:rPr>
          <w:sz w:val="21"/>
        </w:rPr>
        <w:t>乙方应在合同约定的工期内完成本合同约定的全部建设任务，交付验收，并达到验收合格质量标准。</w:t>
      </w:r>
    </w:p>
    <w:p>
      <w:pPr>
        <w:pStyle w:val="null3"/>
        <w:ind w:firstLine="422"/>
      </w:pPr>
      <w:r>
        <w:rPr>
          <w:b/>
          <w:sz w:val="21"/>
        </w:rPr>
        <w:t>第三条</w:t>
      </w:r>
      <w:r>
        <w:rPr>
          <w:b/>
          <w:sz w:val="21"/>
        </w:rPr>
        <w:t xml:space="preserve"> </w:t>
      </w:r>
      <w:r>
        <w:rPr>
          <w:b/>
          <w:sz w:val="21"/>
        </w:rPr>
        <w:t>主要物资需求量</w:t>
      </w:r>
    </w:p>
    <w:p>
      <w:pPr>
        <w:pStyle w:val="null3"/>
        <w:ind w:firstLine="420"/>
      </w:pPr>
      <w:r>
        <w:rPr>
          <w:sz w:val="21"/>
        </w:rPr>
        <w:t>肥料需要量：施肥地点为茶塘工区</w:t>
      </w:r>
      <w:r>
        <w:rPr>
          <w:sz w:val="21"/>
        </w:rPr>
        <w:t>00100、00200小班，面积465亩，共需复合肥（NPK含量≥30%）18135.00千克，全部为追肥。</w:t>
      </w:r>
    </w:p>
    <w:p>
      <w:pPr>
        <w:pStyle w:val="null3"/>
        <w:ind w:firstLine="422"/>
      </w:pPr>
      <w:r>
        <w:rPr>
          <w:b/>
          <w:sz w:val="21"/>
        </w:rPr>
        <w:t>第四条</w:t>
      </w:r>
      <w:r>
        <w:rPr>
          <w:b/>
          <w:sz w:val="21"/>
        </w:rPr>
        <w:t xml:space="preserve"> </w:t>
      </w:r>
      <w:r>
        <w:rPr>
          <w:b/>
          <w:sz w:val="21"/>
        </w:rPr>
        <w:t>合同总金额</w:t>
      </w:r>
    </w:p>
    <w:p>
      <w:pPr>
        <w:pStyle w:val="null3"/>
        <w:ind w:firstLine="420"/>
      </w:pPr>
      <w:r>
        <w:rPr>
          <w:sz w:val="21"/>
        </w:rPr>
        <w:t>1、合同总金额（含税价）为人民币</w:t>
      </w:r>
      <w:r>
        <w:rPr>
          <w:u w:val="single"/>
        </w:rPr>
        <w:t xml:space="preserve">            </w:t>
      </w:r>
      <w:r>
        <w:rPr>
          <w:sz w:val="21"/>
        </w:rPr>
        <w:t>（</w:t>
      </w:r>
      <w:r>
        <w:rPr>
          <w:sz w:val="21"/>
        </w:rPr>
        <w:t>¥</w:t>
      </w:r>
      <w:r>
        <w:rPr>
          <w:u w:val="single"/>
        </w:rPr>
        <w:t xml:space="preserve">            </w:t>
      </w:r>
      <w:r>
        <w:rPr>
          <w:sz w:val="21"/>
        </w:rPr>
        <w:t>）。</w:t>
      </w:r>
    </w:p>
    <w:p>
      <w:pPr>
        <w:pStyle w:val="null3"/>
        <w:ind w:firstLine="420"/>
      </w:pPr>
      <w:r>
        <w:rPr>
          <w:sz w:val="21"/>
        </w:rPr>
        <w:t>2、合同总金额为总价包干，不因任何因素而发生改变，包括但不限于：</w:t>
      </w:r>
    </w:p>
    <w:p>
      <w:pPr>
        <w:pStyle w:val="null3"/>
        <w:ind w:firstLine="420"/>
      </w:pPr>
      <w:r>
        <w:rPr>
          <w:sz w:val="21"/>
        </w:rPr>
        <w:t>（</w:t>
      </w:r>
      <w:r>
        <w:rPr>
          <w:sz w:val="21"/>
        </w:rPr>
        <w:t>1）人工劳务费用；</w:t>
      </w:r>
    </w:p>
    <w:p>
      <w:pPr>
        <w:pStyle w:val="null3"/>
        <w:ind w:firstLine="420"/>
      </w:pPr>
      <w:r>
        <w:rPr>
          <w:sz w:val="21"/>
        </w:rPr>
        <w:t>（</w:t>
      </w:r>
      <w:r>
        <w:rPr>
          <w:sz w:val="21"/>
        </w:rPr>
        <w:t>2）劳动保护费、保险费、机械设备费、各项设施建设费、宣传牌制作安装等费用；</w:t>
      </w:r>
    </w:p>
    <w:p>
      <w:pPr>
        <w:pStyle w:val="null3"/>
        <w:ind w:firstLine="420"/>
      </w:pPr>
      <w:r>
        <w:rPr>
          <w:sz w:val="21"/>
        </w:rPr>
        <w:t>（</w:t>
      </w:r>
      <w:r>
        <w:rPr>
          <w:sz w:val="21"/>
        </w:rPr>
        <w:t>3）肥料费、运输费、装卸车费及道路维修费等费用；</w:t>
      </w:r>
    </w:p>
    <w:p>
      <w:pPr>
        <w:pStyle w:val="null3"/>
        <w:ind w:firstLine="420"/>
      </w:pPr>
      <w:r>
        <w:rPr>
          <w:sz w:val="21"/>
        </w:rPr>
        <w:t>（</w:t>
      </w:r>
      <w:r>
        <w:rPr>
          <w:sz w:val="21"/>
        </w:rPr>
        <w:t>4）各种税费及本项目其他不可预见的费用。</w:t>
      </w:r>
    </w:p>
    <w:p>
      <w:pPr>
        <w:pStyle w:val="null3"/>
        <w:ind w:firstLine="422"/>
      </w:pPr>
      <w:r>
        <w:rPr>
          <w:b/>
          <w:sz w:val="21"/>
        </w:rPr>
        <w:t>第五条</w:t>
      </w:r>
      <w:r>
        <w:rPr>
          <w:b/>
          <w:sz w:val="21"/>
        </w:rPr>
        <w:t xml:space="preserve"> </w:t>
      </w:r>
      <w:r>
        <w:rPr>
          <w:b/>
          <w:sz w:val="21"/>
        </w:rPr>
        <w:t>主要工序具体要求</w:t>
      </w:r>
    </w:p>
    <w:p>
      <w:pPr>
        <w:pStyle w:val="null3"/>
        <w:ind w:firstLine="420"/>
      </w:pPr>
      <w:r>
        <w:rPr>
          <w:sz w:val="21"/>
        </w:rPr>
        <w:t>（一）桉树大径材培育示范林建设</w:t>
      </w:r>
    </w:p>
    <w:p>
      <w:pPr>
        <w:pStyle w:val="null3"/>
        <w:ind w:firstLine="420"/>
      </w:pPr>
      <w:r>
        <w:rPr>
          <w:sz w:val="21"/>
        </w:rPr>
        <w:t>1、间伐</w:t>
      </w:r>
    </w:p>
    <w:p>
      <w:pPr>
        <w:pStyle w:val="null3"/>
        <w:ind w:firstLine="420"/>
      </w:pPr>
      <w:r>
        <w:rPr>
          <w:sz w:val="21"/>
        </w:rPr>
        <w:t>（</w:t>
      </w:r>
      <w:r>
        <w:rPr>
          <w:sz w:val="21"/>
        </w:rPr>
        <w:t>1）间伐原则</w:t>
      </w:r>
    </w:p>
    <w:p>
      <w:pPr>
        <w:pStyle w:val="null3"/>
        <w:ind w:firstLine="420"/>
      </w:pPr>
      <w:r>
        <w:rPr>
          <w:sz w:val="21"/>
        </w:rPr>
        <w:t>①砍小留大。伐除密度过大、生长不良的下层被压树木；保留中等木、亚优势木、优势木；</w:t>
      </w:r>
    </w:p>
    <w:p>
      <w:pPr>
        <w:pStyle w:val="null3"/>
        <w:ind w:firstLine="420"/>
      </w:pPr>
      <w:r>
        <w:rPr>
          <w:sz w:val="21"/>
        </w:rPr>
        <w:t>②砍密留稀，照顾均匀。密度大的地方，可适当伐除中等木或亚优势木；在稀疏的地方，适当保留中等以下的树木，避免出现“天窗”现象，以保证整个林分立木均匀度；</w:t>
      </w:r>
    </w:p>
    <w:p>
      <w:pPr>
        <w:pStyle w:val="null3"/>
        <w:ind w:firstLine="420"/>
      </w:pPr>
      <w:r>
        <w:rPr>
          <w:sz w:val="21"/>
        </w:rPr>
        <w:t>③砍劣留优。伐除弯曲木、分叉木、断梢木、歪斜木以及枯死木、濒死木、病害木，保留干形通直圆满树木。</w:t>
      </w:r>
    </w:p>
    <w:p>
      <w:pPr>
        <w:pStyle w:val="null3"/>
        <w:ind w:firstLine="420"/>
      </w:pPr>
      <w:r>
        <w:rPr>
          <w:sz w:val="21"/>
        </w:rPr>
        <w:t>（</w:t>
      </w:r>
      <w:r>
        <w:rPr>
          <w:sz w:val="21"/>
        </w:rPr>
        <w:t>2）间伐设计</w:t>
      </w:r>
    </w:p>
    <w:p>
      <w:pPr>
        <w:pStyle w:val="null3"/>
        <w:ind w:firstLine="420"/>
      </w:pPr>
      <w:r>
        <w:rPr>
          <w:sz w:val="21"/>
        </w:rPr>
        <w:t>根据间伐原则及实地调查成果分析，间伐总蓄积</w:t>
      </w:r>
      <w:r>
        <w:rPr>
          <w:sz w:val="21"/>
        </w:rPr>
        <w:t>9664立方米，间伐出材7569立方米。</w:t>
      </w:r>
    </w:p>
    <w:p>
      <w:pPr>
        <w:pStyle w:val="null3"/>
        <w:ind w:firstLine="420"/>
      </w:pPr>
      <w:r>
        <w:rPr>
          <w:sz w:val="21"/>
        </w:rPr>
        <w:t>（</w:t>
      </w:r>
      <w:r>
        <w:rPr>
          <w:sz w:val="21"/>
        </w:rPr>
        <w:t>3）间伐做法</w:t>
      </w:r>
    </w:p>
    <w:p>
      <w:pPr>
        <w:pStyle w:val="null3"/>
        <w:ind w:firstLine="420"/>
      </w:pPr>
      <w:r>
        <w:rPr>
          <w:sz w:val="21"/>
        </w:rPr>
        <w:t>在间伐开始前，将需要伐除立木在树干高度约</w:t>
      </w:r>
      <w:r>
        <w:rPr>
          <w:sz w:val="21"/>
        </w:rPr>
        <w:t>1米处做好标记，再进行统一伐除。伐除时，根据待伐植株的冠形和倾斜方向，控制待伐植株的倒向，尽量避免损伤到非采伐植株。</w:t>
      </w:r>
    </w:p>
    <w:p>
      <w:pPr>
        <w:pStyle w:val="null3"/>
        <w:ind w:firstLine="420"/>
      </w:pPr>
      <w:r>
        <w:rPr>
          <w:sz w:val="21"/>
        </w:rPr>
        <w:t>（</w:t>
      </w:r>
      <w:r>
        <w:rPr>
          <w:sz w:val="21"/>
        </w:rPr>
        <w:t>4）间伐木材处理</w:t>
      </w:r>
    </w:p>
    <w:p>
      <w:pPr>
        <w:pStyle w:val="null3"/>
        <w:ind w:firstLine="420"/>
      </w:pPr>
      <w:r>
        <w:rPr>
          <w:sz w:val="21"/>
        </w:rPr>
        <w:t>将间伐桉木尾径</w:t>
      </w:r>
      <w:r>
        <w:rPr>
          <w:sz w:val="21"/>
        </w:rPr>
        <w:t>6厘米以上制材成2.6米/段，将木材集运归楞到甲方指定的地方堆放好。</w:t>
      </w:r>
    </w:p>
    <w:p>
      <w:pPr>
        <w:pStyle w:val="null3"/>
        <w:ind w:firstLine="420"/>
      </w:pPr>
      <w:r>
        <w:rPr>
          <w:sz w:val="21"/>
        </w:rPr>
        <w:t>（</w:t>
      </w:r>
      <w:r>
        <w:rPr>
          <w:sz w:val="21"/>
        </w:rPr>
        <w:t>5）剩余物处理</w:t>
      </w:r>
    </w:p>
    <w:p>
      <w:pPr>
        <w:pStyle w:val="null3"/>
        <w:ind w:firstLine="420"/>
      </w:pPr>
      <w:r>
        <w:rPr>
          <w:sz w:val="21"/>
        </w:rPr>
        <w:t>林地内间伐及割灌除草后，大枝丫、伐倒的弱小株、枯死株等剩余物水平铺在林内或清理出林地外。</w:t>
      </w:r>
    </w:p>
    <w:p>
      <w:pPr>
        <w:pStyle w:val="null3"/>
        <w:ind w:firstLine="420"/>
      </w:pPr>
      <w:r>
        <w:rPr>
          <w:sz w:val="21"/>
        </w:rPr>
        <w:t>2、割灌除草</w:t>
      </w:r>
    </w:p>
    <w:p>
      <w:pPr>
        <w:pStyle w:val="null3"/>
        <w:ind w:firstLine="420"/>
      </w:pPr>
      <w:r>
        <w:rPr>
          <w:sz w:val="21"/>
        </w:rPr>
        <w:t>用机械或人工对作业林地进行全面割灌除草，清除目的树种周围的杂草、灌木、藤本、零星杂竹和难以成材的多余萌条，以改善林分的生长环境，割除的杂灌杂草头高度低于</w:t>
      </w:r>
      <w:r>
        <w:rPr>
          <w:sz w:val="21"/>
        </w:rPr>
        <w:t>15厘米。尽量保留有培育价值的林分中的乡土阔叶树和珍贵树种。</w:t>
      </w:r>
    </w:p>
    <w:p>
      <w:pPr>
        <w:pStyle w:val="null3"/>
        <w:ind w:firstLine="420"/>
      </w:pPr>
      <w:r>
        <w:rPr>
          <w:sz w:val="21"/>
        </w:rPr>
        <w:t>3、宣教设施</w:t>
      </w:r>
    </w:p>
    <w:p>
      <w:pPr>
        <w:pStyle w:val="null3"/>
        <w:ind w:firstLine="420"/>
      </w:pPr>
      <w:r>
        <w:rPr>
          <w:sz w:val="21"/>
        </w:rPr>
        <w:t>在都骑、高厂项目作业区重点区域及路段制作安装</w:t>
      </w:r>
      <w:r>
        <w:rPr>
          <w:sz w:val="21"/>
        </w:rPr>
        <w:t>1套宣教设施，包括：2个大型宣传牌（长8米×宽5米，含支架），3个标识牌（长3米×宽2.5米，含支架）、5条横幅。</w:t>
      </w:r>
    </w:p>
    <w:p>
      <w:pPr>
        <w:pStyle w:val="null3"/>
        <w:ind w:firstLine="420"/>
      </w:pPr>
      <w:r>
        <w:rPr>
          <w:sz w:val="21"/>
        </w:rPr>
        <w:t>4、新建森林步道</w:t>
      </w:r>
    </w:p>
    <w:p>
      <w:pPr>
        <w:pStyle w:val="null3"/>
        <w:ind w:firstLine="420"/>
      </w:pPr>
      <w:r>
        <w:rPr>
          <w:sz w:val="21"/>
        </w:rPr>
        <w:t>在大径材培育项目区新建</w:t>
      </w:r>
      <w:r>
        <w:rPr>
          <w:sz w:val="21"/>
        </w:rPr>
        <w:t>2公里的森林体验步道，要求步道宽1.5-2.0米，路面铺砂砾（厚度5厘米），浆砌边沟（内宽20厘米，沟深25厘米）。</w:t>
      </w:r>
    </w:p>
    <w:p>
      <w:pPr>
        <w:pStyle w:val="null3"/>
        <w:ind w:firstLine="420"/>
      </w:pPr>
      <w:r>
        <w:rPr>
          <w:sz w:val="21"/>
        </w:rPr>
        <w:t>5、道路维修</w:t>
      </w:r>
    </w:p>
    <w:p>
      <w:pPr>
        <w:pStyle w:val="null3"/>
        <w:ind w:firstLine="420"/>
      </w:pPr>
      <w:r>
        <w:rPr>
          <w:sz w:val="21"/>
        </w:rPr>
        <w:t>对作业区的道路进行维修，把山体崩塌阻塞道路通行的土方清理出道路外，对被雨水侵蚀、坑洼不平的路面进行平整，清除道路内侧排水沟上的杂灌杂草，使作业区道路畅通无阻。</w:t>
      </w:r>
    </w:p>
    <w:p>
      <w:pPr>
        <w:pStyle w:val="null3"/>
        <w:ind w:firstLine="420"/>
      </w:pPr>
      <w:r>
        <w:rPr>
          <w:sz w:val="21"/>
        </w:rPr>
        <w:t>（二）阔叶树大径材培育示范林建设</w:t>
      </w:r>
    </w:p>
    <w:p>
      <w:pPr>
        <w:pStyle w:val="null3"/>
        <w:ind w:firstLine="420"/>
      </w:pPr>
      <w:r>
        <w:rPr>
          <w:sz w:val="21"/>
        </w:rPr>
        <w:t>1、疏伐</w:t>
      </w:r>
    </w:p>
    <w:p>
      <w:pPr>
        <w:pStyle w:val="null3"/>
        <w:ind w:firstLine="420"/>
      </w:pPr>
      <w:r>
        <w:rPr>
          <w:sz w:val="21"/>
        </w:rPr>
        <w:t>（</w:t>
      </w:r>
      <w:r>
        <w:rPr>
          <w:sz w:val="21"/>
        </w:rPr>
        <w:t>1）对培育大径材的林地，采用疏伐的方式进行，遵循“砍弱留强，砍劣留优，砍密留稀，照顾均匀”的原则，具体按照以下疏伐原则进行：</w:t>
      </w:r>
    </w:p>
    <w:p>
      <w:pPr>
        <w:pStyle w:val="null3"/>
        <w:ind w:firstLine="420"/>
      </w:pPr>
      <w:r>
        <w:rPr>
          <w:sz w:val="21"/>
        </w:rPr>
        <w:t>①砍弱留强：伐除枯死木、濒死木、病害木、被压木，保留中等以上的树木（中等木、亚优势木、优势木）；</w:t>
      </w:r>
    </w:p>
    <w:p>
      <w:pPr>
        <w:pStyle w:val="null3"/>
        <w:ind w:firstLine="420"/>
      </w:pPr>
      <w:r>
        <w:rPr>
          <w:sz w:val="21"/>
        </w:rPr>
        <w:t>②砍劣留优：伐除弯曲木、分叉木、断梢木和歪斜木，保留干形通直圆满树木；</w:t>
      </w:r>
    </w:p>
    <w:p>
      <w:pPr>
        <w:pStyle w:val="null3"/>
        <w:ind w:firstLine="420"/>
      </w:pPr>
      <w:r>
        <w:rPr>
          <w:sz w:val="21"/>
        </w:rPr>
        <w:t>③砍密留稀，照顾均匀：密度大的地方，可适当伐除中等木或亚优势木；在稀疏的地方，适当保留中等以下的树木，避免出现林窗现象，以保证整个林分立木均匀度；</w:t>
      </w:r>
    </w:p>
    <w:p>
      <w:pPr>
        <w:pStyle w:val="null3"/>
        <w:ind w:firstLine="420"/>
      </w:pPr>
      <w:r>
        <w:rPr>
          <w:sz w:val="21"/>
        </w:rPr>
        <w:t>④69、70、71、74、75、76号作业小班（小班号00301、00400、00500、00701、01600、02000），伐去全部杉树（造成林窗的可适当保留部分）。</w:t>
      </w:r>
    </w:p>
    <w:p>
      <w:pPr>
        <w:pStyle w:val="null3"/>
        <w:ind w:firstLine="420"/>
      </w:pPr>
      <w:r>
        <w:rPr>
          <w:sz w:val="21"/>
        </w:rPr>
        <w:t>（</w:t>
      </w:r>
      <w:r>
        <w:rPr>
          <w:sz w:val="21"/>
        </w:rPr>
        <w:t>2）疏伐具体做法</w:t>
      </w:r>
    </w:p>
    <w:p>
      <w:pPr>
        <w:pStyle w:val="null3"/>
        <w:ind w:firstLine="420"/>
      </w:pPr>
      <w:r>
        <w:rPr>
          <w:sz w:val="21"/>
        </w:rPr>
        <w:t>在疏伐开始前，将需要伐除立木全部在树干高度约</w:t>
      </w:r>
      <w:r>
        <w:rPr>
          <w:sz w:val="21"/>
        </w:rPr>
        <w:t>1米处做好标记，再进行统一伐除。伐除时，根据待伐植株的冠形和倾斜方向，控制待伐植株的倒向，尽量避免损伤到非采伐植株。植株伐倒后，去除枝叶，而后将树干锯成若干段，大枝丫、伐倒的弱小株、枯死株等剩余物水平铺在林内或清理出林地外。具体疏伐木材制材集材要求：</w:t>
      </w:r>
    </w:p>
    <w:p>
      <w:pPr>
        <w:pStyle w:val="null3"/>
        <w:ind w:firstLine="420"/>
      </w:pPr>
      <w:r>
        <w:rPr>
          <w:sz w:val="21"/>
        </w:rPr>
        <w:t>杉木：尾径</w:t>
      </w:r>
      <w:r>
        <w:rPr>
          <w:sz w:val="21"/>
        </w:rPr>
        <w:t>6-12厘米（含12厘米）的制成4.0米/段，12厘米以上的制成2米/段，按甲方要求堆放在运材道。</w:t>
      </w:r>
    </w:p>
    <w:p>
      <w:pPr>
        <w:pStyle w:val="null3"/>
        <w:ind w:firstLine="420"/>
      </w:pPr>
      <w:r>
        <w:rPr>
          <w:sz w:val="21"/>
        </w:rPr>
        <w:t>阔叶树：尾径</w:t>
      </w:r>
      <w:r>
        <w:rPr>
          <w:sz w:val="21"/>
        </w:rPr>
        <w:t>10厘米以上（含10厘米）的制成2米/段，按甲方要求堆放在运材道。</w:t>
      </w:r>
    </w:p>
    <w:p>
      <w:pPr>
        <w:pStyle w:val="null3"/>
        <w:ind w:firstLine="420"/>
      </w:pPr>
      <w:r>
        <w:rPr/>
        <w:t>（3）</w:t>
      </w:r>
      <w:r>
        <w:rPr>
          <w:sz w:val="21"/>
        </w:rPr>
        <w:t>疏伐设计</w:t>
      </w:r>
    </w:p>
    <w:p>
      <w:pPr>
        <w:pStyle w:val="null3"/>
        <w:ind w:firstLine="420"/>
      </w:pPr>
      <w:r>
        <w:rPr>
          <w:sz w:val="21"/>
        </w:rPr>
        <w:t>疏伐总蓄积</w:t>
      </w:r>
      <w:r>
        <w:rPr>
          <w:sz w:val="21"/>
        </w:rPr>
        <w:t>1749立方米，间伐总出材1049立方米。</w:t>
      </w:r>
    </w:p>
    <w:p>
      <w:pPr>
        <w:pStyle w:val="null3"/>
        <w:ind w:firstLine="420"/>
      </w:pPr>
      <w:r>
        <w:rPr>
          <w:sz w:val="21"/>
        </w:rPr>
        <w:t>2、割灌除草</w:t>
      </w:r>
    </w:p>
    <w:p>
      <w:pPr>
        <w:pStyle w:val="null3"/>
        <w:ind w:firstLine="420"/>
      </w:pPr>
      <w:r>
        <w:rPr>
          <w:sz w:val="21"/>
        </w:rPr>
        <w:t>大径材培育示范林杂灌较多，需要全面割杂灌杂草和藤本植物，留下的草头不高于</w:t>
      </w:r>
      <w:r>
        <w:rPr>
          <w:sz w:val="21"/>
        </w:rPr>
        <w:t>15cm。割灌除草时应注重保护珍惜濒危植物、国家重点保护植物、林窗外的幼树幼苗以及林下有生长潜力的幼树幼苗。</w:t>
      </w:r>
    </w:p>
    <w:p>
      <w:pPr>
        <w:pStyle w:val="null3"/>
        <w:ind w:firstLine="420"/>
      </w:pPr>
      <w:r>
        <w:rPr>
          <w:sz w:val="21"/>
        </w:rPr>
        <w:t>3、修枝</w:t>
      </w:r>
    </w:p>
    <w:p>
      <w:pPr>
        <w:pStyle w:val="null3"/>
        <w:ind w:firstLine="420"/>
      </w:pPr>
      <w:r>
        <w:rPr>
          <w:sz w:val="21"/>
        </w:rPr>
        <w:t>对主干不明显、低部枝桠较多及难以成材、老弱的枝桠进行修剪，大径材培育示范林树较高及分枝较粗的，需要使用手锯进行修枝，锯口要贴着树干，锯口要平整，枝桩尽量修平，不能伤害树干的韧皮部和木质部。</w:t>
      </w:r>
    </w:p>
    <w:p>
      <w:pPr>
        <w:pStyle w:val="null3"/>
        <w:ind w:firstLine="420"/>
      </w:pPr>
      <w:r>
        <w:rPr>
          <w:sz w:val="21"/>
        </w:rPr>
        <w:t>4、施肥</w:t>
      </w:r>
    </w:p>
    <w:p>
      <w:pPr>
        <w:pStyle w:val="null3"/>
        <w:ind w:firstLine="420"/>
      </w:pPr>
      <w:r>
        <w:rPr>
          <w:sz w:val="21"/>
        </w:rPr>
        <w:t>对茶塘</w:t>
      </w:r>
      <w:r>
        <w:rPr>
          <w:sz w:val="21"/>
        </w:rPr>
        <w:t>67、68号作业小班施肥，将肥料施于林木根系集中分布区，不超出树冠覆盖范围，并用土盖实，避免流失。施肥采用沟状埋施，施肥沟位于树冠投影外沿的上坡处，沟深不小于0.2米、宽0.2-0.25米，将肥料撒入后覆土。每株施放0.5kg复合肥（NPK含量≥30%）。</w:t>
      </w:r>
    </w:p>
    <w:p>
      <w:pPr>
        <w:pStyle w:val="null3"/>
        <w:ind w:firstLine="420"/>
      </w:pPr>
      <w:r>
        <w:rPr>
          <w:sz w:val="21"/>
        </w:rPr>
        <w:t>5、基础设施</w:t>
      </w:r>
    </w:p>
    <w:p>
      <w:pPr>
        <w:pStyle w:val="null3"/>
        <w:ind w:firstLine="420"/>
      </w:pPr>
      <w:r>
        <w:rPr>
          <w:sz w:val="21"/>
        </w:rPr>
        <w:t>（</w:t>
      </w:r>
      <w:r>
        <w:rPr>
          <w:sz w:val="21"/>
        </w:rPr>
        <w:t>1）在茶塘作业区新开路面宽度3米的运材道1公里，新建1座路面宽3.5米、过水涵管至少6个（内孔1米）的涵桥，两边边坡浆砌水泥；新建1座路面水泥板长4米、宽1.5米的便桥。同时对疏伐以及其他培育措施的作业区进行道路维修，保证车辆能通行，其中包括集材道路维修、施肥道路维修、搬运及运输道路维修等。</w:t>
      </w:r>
    </w:p>
    <w:p>
      <w:pPr>
        <w:pStyle w:val="null3"/>
        <w:ind w:firstLine="420"/>
      </w:pPr>
      <w:r>
        <w:rPr>
          <w:sz w:val="21"/>
        </w:rPr>
        <w:t>（</w:t>
      </w:r>
      <w:r>
        <w:rPr>
          <w:sz w:val="21"/>
        </w:rPr>
        <w:t>2）新建森林步道，步道长度约2公里，宽度约0.8-1.0米。</w:t>
      </w:r>
    </w:p>
    <w:p>
      <w:pPr>
        <w:pStyle w:val="null3"/>
        <w:ind w:firstLine="420"/>
      </w:pPr>
      <w:r>
        <w:rPr>
          <w:sz w:val="21"/>
        </w:rPr>
        <w:t>6、设置标识牌</w:t>
      </w:r>
    </w:p>
    <w:p>
      <w:pPr>
        <w:pStyle w:val="null3"/>
        <w:ind w:firstLine="420"/>
      </w:pPr>
      <w:r>
        <w:rPr>
          <w:sz w:val="21"/>
        </w:rPr>
        <w:t>在茶塘作业区设置</w:t>
      </w:r>
      <w:r>
        <w:rPr>
          <w:sz w:val="21"/>
        </w:rPr>
        <w:t>1个标识牌，将项目名称、项目规模、范围、面积、建设单位、建设日期等信息写于标识牌上，其规格为：高1.5米，宽2.0米，支柱长3.3米，直径8厘米，埋地0.8米，采用镀锌铁制作。</w:t>
      </w:r>
    </w:p>
    <w:p>
      <w:pPr>
        <w:pStyle w:val="null3"/>
        <w:ind w:firstLine="422"/>
      </w:pPr>
      <w:r>
        <w:rPr>
          <w:b/>
          <w:sz w:val="21"/>
        </w:rPr>
        <w:t>第六条</w:t>
      </w:r>
      <w:r>
        <w:rPr>
          <w:b/>
          <w:sz w:val="21"/>
        </w:rPr>
        <w:t xml:space="preserve"> </w:t>
      </w:r>
      <w:r>
        <w:rPr>
          <w:b/>
          <w:sz w:val="21"/>
        </w:rPr>
        <w:t>权利与义务</w:t>
      </w:r>
    </w:p>
    <w:p>
      <w:pPr>
        <w:pStyle w:val="null3"/>
        <w:ind w:firstLine="420"/>
      </w:pPr>
      <w:r>
        <w:rPr>
          <w:sz w:val="21"/>
        </w:rPr>
        <w:t>1、甲方负责提供作业设计，为乙方明确具体施工地点。委派监理及技术人员检查监督施工质量，监督指导乙方按工程进度和质量要求施工。检查安全生产措施，监督安全生产措施的执行。</w:t>
      </w:r>
    </w:p>
    <w:p>
      <w:pPr>
        <w:pStyle w:val="null3"/>
        <w:ind w:firstLine="420"/>
      </w:pPr>
      <w:r>
        <w:rPr>
          <w:sz w:val="21"/>
        </w:rPr>
        <w:t>2、甲方及监理负责组织工程质量验收，出具验收证明文件。会同乙方办理工程结算手续，按合同约定支付工程款。</w:t>
      </w:r>
    </w:p>
    <w:p>
      <w:pPr>
        <w:pStyle w:val="null3"/>
        <w:ind w:firstLine="420"/>
      </w:pPr>
      <w:r>
        <w:rPr>
          <w:sz w:val="21"/>
        </w:rPr>
        <w:t>3、乙方负责购买符合本合同规定质量要求的肥料，并负责肥料运输。</w:t>
      </w:r>
    </w:p>
    <w:p>
      <w:pPr>
        <w:pStyle w:val="null3"/>
        <w:ind w:firstLine="420"/>
      </w:pPr>
      <w:r>
        <w:rPr>
          <w:sz w:val="21"/>
        </w:rPr>
        <w:t>4、乙方负责聘请技术人员及组织劳动力进场施工，开展安全教育和技术培训，严格按批复的作业设计及合同进行施工，按合同要求的工程进度完成施工任务，自觉接受甲方及监理监督检查，检查不合格的必须返工至合格。及时提供施工前、施工中、施工后相片，及时提供工程发票等结算凭据给甲方，按合同约定收取工程款。承诺不拖欠民工工资，不拖欠材料款等，否则，一切后果由乙方承担。</w:t>
      </w:r>
    </w:p>
    <w:p>
      <w:pPr>
        <w:pStyle w:val="null3"/>
        <w:ind w:firstLine="420"/>
      </w:pPr>
      <w:r>
        <w:rPr>
          <w:sz w:val="21"/>
        </w:rPr>
        <w:t>5、未经甲方同意，乙方不得擅自转包、分包。</w:t>
      </w:r>
    </w:p>
    <w:p>
      <w:pPr>
        <w:pStyle w:val="null3"/>
        <w:ind w:firstLine="422"/>
      </w:pPr>
      <w:r>
        <w:rPr>
          <w:b/>
          <w:sz w:val="21"/>
        </w:rPr>
        <w:t>第七条</w:t>
      </w:r>
      <w:r>
        <w:rPr>
          <w:b/>
          <w:sz w:val="21"/>
        </w:rPr>
        <w:t xml:space="preserve"> </w:t>
      </w:r>
      <w:r>
        <w:rPr>
          <w:b/>
          <w:sz w:val="21"/>
        </w:rPr>
        <w:t>履约保证金</w:t>
      </w:r>
    </w:p>
    <w:p>
      <w:pPr>
        <w:pStyle w:val="null3"/>
        <w:ind w:firstLine="420"/>
      </w:pPr>
      <w:r>
        <w:rPr>
          <w:sz w:val="21"/>
        </w:rPr>
        <w:t>1、乙方须在合同签订后1个月内向甲方缴交履约保证金（合同总价的5%）。如果乙方拒绝提交履约保证金，甲方将有充分理由取消其成交资格，乙方应承担违约责任。</w:t>
      </w:r>
    </w:p>
    <w:p>
      <w:pPr>
        <w:pStyle w:val="null3"/>
        <w:ind w:firstLine="420"/>
      </w:pPr>
      <w:r>
        <w:rPr>
          <w:sz w:val="21"/>
        </w:rPr>
        <w:t>2、履约保证金提交方式：由乙方自主选择以支票、汇票、本票或者金融机构、担保机构出具的保函等非现金形式提交。</w:t>
      </w:r>
    </w:p>
    <w:p>
      <w:pPr>
        <w:pStyle w:val="null3"/>
        <w:ind w:firstLine="420"/>
      </w:pPr>
      <w:r>
        <w:rPr>
          <w:sz w:val="21"/>
        </w:rPr>
        <w:t>3、履约保证金退还方式：原路退还。</w:t>
      </w:r>
    </w:p>
    <w:p>
      <w:pPr>
        <w:pStyle w:val="null3"/>
        <w:ind w:firstLine="420"/>
      </w:pPr>
      <w:r>
        <w:rPr>
          <w:sz w:val="21"/>
        </w:rPr>
        <w:t>4、在合同履行期间如无出现违反采购文件及合同条款的行为，没有发生森林火灾和没有出现安全生产事故的，履约保证金在服务期结束（合同期满）后一个月内无息退还（或解除保函）。</w:t>
      </w:r>
    </w:p>
    <w:p>
      <w:pPr>
        <w:pStyle w:val="null3"/>
        <w:ind w:firstLine="420"/>
      </w:pPr>
      <w:r>
        <w:rPr>
          <w:sz w:val="21"/>
        </w:rPr>
        <w:t>5、若出现以下情形，履约保证金将不予退还：</w:t>
      </w:r>
    </w:p>
    <w:p>
      <w:pPr>
        <w:pStyle w:val="null3"/>
        <w:ind w:firstLine="420"/>
      </w:pPr>
      <w:r>
        <w:rPr>
          <w:sz w:val="21"/>
        </w:rPr>
        <w:t>（</w:t>
      </w:r>
      <w:r>
        <w:rPr>
          <w:sz w:val="21"/>
        </w:rPr>
        <w:t>1）乙方将中标项目转让或分包给他人；</w:t>
      </w:r>
    </w:p>
    <w:p>
      <w:pPr>
        <w:pStyle w:val="null3"/>
        <w:ind w:firstLine="420"/>
      </w:pPr>
      <w:r>
        <w:rPr>
          <w:sz w:val="21"/>
        </w:rPr>
        <w:t>（</w:t>
      </w:r>
      <w:r>
        <w:rPr>
          <w:sz w:val="21"/>
        </w:rPr>
        <w:t>2）乙方无故拒绝履行合同；</w:t>
      </w:r>
    </w:p>
    <w:p>
      <w:pPr>
        <w:pStyle w:val="null3"/>
        <w:ind w:firstLine="420"/>
      </w:pPr>
      <w:r>
        <w:rPr>
          <w:sz w:val="21"/>
        </w:rPr>
        <w:t>（</w:t>
      </w:r>
      <w:r>
        <w:rPr>
          <w:sz w:val="21"/>
        </w:rPr>
        <w:t>3）乙方连续三次因项目实施质量不合格导致验收不通过。</w:t>
      </w:r>
    </w:p>
    <w:p>
      <w:pPr>
        <w:pStyle w:val="null3"/>
        <w:ind w:firstLine="420"/>
      </w:pPr>
      <w:r>
        <w:rPr>
          <w:sz w:val="21"/>
        </w:rPr>
        <w:t>6、甲方如逾期退还履约保证金，则每日按履约保证金的1‰向乙方偿付违约金；如为保函、保险形式的履约保证金，则项目验收通过后解除项目履约担保（或银行保函、或项目保险）即可。</w:t>
      </w:r>
    </w:p>
    <w:p>
      <w:pPr>
        <w:pStyle w:val="null3"/>
        <w:ind w:firstLine="422"/>
      </w:pPr>
      <w:r>
        <w:rPr>
          <w:b/>
          <w:sz w:val="21"/>
        </w:rPr>
        <w:t>第八条</w:t>
      </w:r>
      <w:r>
        <w:rPr>
          <w:b/>
          <w:sz w:val="21"/>
        </w:rPr>
        <w:t xml:space="preserve"> </w:t>
      </w:r>
      <w:r>
        <w:rPr>
          <w:b/>
          <w:sz w:val="21"/>
        </w:rPr>
        <w:t>验收内容和验收方式</w:t>
      </w:r>
    </w:p>
    <w:p>
      <w:pPr>
        <w:pStyle w:val="null3"/>
        <w:ind w:firstLine="420"/>
      </w:pPr>
      <w:r>
        <w:rPr>
          <w:sz w:val="21"/>
        </w:rPr>
        <w:t>项目验收内容主要包括作业地点及面积核实，疏伐、步道、割灌除草、施肥、修枝质量等。</w:t>
      </w:r>
    </w:p>
    <w:p>
      <w:pPr>
        <w:pStyle w:val="null3"/>
        <w:ind w:firstLine="420"/>
      </w:pPr>
      <w:r>
        <w:rPr>
          <w:sz w:val="21"/>
        </w:rPr>
        <w:t>在施工过程中，甲方及监理派员检查监督工程质量，检查不及格的，乙方必须无条件返工直到质量验收合格为止。工程任务完成后，由甲方和监理单位会同乙方组织项目验收，核实地点、面积、质量。全部验收合格后，由甲方或监理单位出具验收合格证明文件。</w:t>
      </w:r>
    </w:p>
    <w:p>
      <w:pPr>
        <w:pStyle w:val="null3"/>
        <w:ind w:firstLine="422"/>
      </w:pPr>
      <w:r>
        <w:rPr>
          <w:b/>
          <w:sz w:val="21"/>
        </w:rPr>
        <w:t>第九条</w:t>
      </w:r>
      <w:r>
        <w:rPr>
          <w:b/>
          <w:sz w:val="21"/>
        </w:rPr>
        <w:t xml:space="preserve"> </w:t>
      </w:r>
      <w:r>
        <w:rPr>
          <w:b/>
          <w:sz w:val="21"/>
        </w:rPr>
        <w:t>合同款结算支付办法</w:t>
      </w:r>
    </w:p>
    <w:p>
      <w:pPr>
        <w:pStyle w:val="null3"/>
        <w:ind w:firstLine="420"/>
      </w:pPr>
      <w:r>
        <w:rPr>
          <w:sz w:val="21"/>
        </w:rPr>
        <w:t>1、本项目合同款项以人民币转帐方式支付，按下列程序付款：</w:t>
      </w:r>
    </w:p>
    <w:p>
      <w:pPr>
        <w:pStyle w:val="null3"/>
        <w:ind w:firstLine="420"/>
      </w:pPr>
      <w:r>
        <w:rPr>
          <w:sz w:val="21"/>
        </w:rPr>
        <w:t>（</w:t>
      </w:r>
      <w:r>
        <w:rPr>
          <w:sz w:val="21"/>
        </w:rPr>
        <w:t>1）自合同签订之日起15个日历天内支付合同总金额的30%；</w:t>
      </w:r>
    </w:p>
    <w:p>
      <w:pPr>
        <w:pStyle w:val="null3"/>
        <w:ind w:firstLine="420"/>
      </w:pPr>
      <w:r>
        <w:rPr>
          <w:sz w:val="21"/>
        </w:rPr>
        <w:t>（</w:t>
      </w:r>
      <w:r>
        <w:rPr>
          <w:sz w:val="21"/>
        </w:rPr>
        <w:t>2）项目按实施进度结算：2024年6月30日之前完成项目进度要求后支付合同总金额的30%；余下款项视施工进度支出，2024年9月25日前完成全部施工，验收合格后，9月30日前完成全部支付。</w:t>
      </w:r>
    </w:p>
    <w:p>
      <w:pPr>
        <w:pStyle w:val="null3"/>
        <w:ind w:firstLine="420"/>
      </w:pPr>
      <w:r>
        <w:rPr>
          <w:sz w:val="21"/>
        </w:rPr>
        <w:t>（</w:t>
      </w:r>
      <w:r>
        <w:rPr>
          <w:sz w:val="21"/>
        </w:rPr>
        <w:t>3）乙方凭以下有效文件与甲方结算，未能提供的，甲方有权拒绝支付：</w:t>
      </w:r>
    </w:p>
    <w:p>
      <w:pPr>
        <w:pStyle w:val="null3"/>
        <w:ind w:firstLine="420"/>
      </w:pPr>
      <w:r>
        <w:rPr>
          <w:sz w:val="21"/>
        </w:rPr>
        <w:t>①合同；</w:t>
      </w:r>
    </w:p>
    <w:p>
      <w:pPr>
        <w:pStyle w:val="null3"/>
        <w:ind w:firstLine="420"/>
      </w:pPr>
      <w:r>
        <w:rPr>
          <w:sz w:val="21"/>
        </w:rPr>
        <w:t>②乙方开具的有效发票；</w:t>
      </w:r>
    </w:p>
    <w:p>
      <w:pPr>
        <w:pStyle w:val="null3"/>
        <w:ind w:firstLine="420"/>
      </w:pPr>
      <w:r>
        <w:rPr>
          <w:sz w:val="21"/>
        </w:rPr>
        <w:t>③验收报告或验收单（加盖甲方公章）；</w:t>
      </w:r>
    </w:p>
    <w:p>
      <w:pPr>
        <w:pStyle w:val="null3"/>
        <w:ind w:firstLine="420"/>
      </w:pPr>
      <w:r>
        <w:rPr>
          <w:sz w:val="21"/>
        </w:rPr>
        <w:t>④成交通知书。</w:t>
      </w:r>
    </w:p>
    <w:p>
      <w:pPr>
        <w:pStyle w:val="null3"/>
        <w:ind w:firstLine="420"/>
      </w:pPr>
      <w:r>
        <w:rPr>
          <w:sz w:val="21"/>
        </w:rPr>
        <w:t>2、乙方未能按照上述时间节点完成施工任务的，甲方有权顺延支付，并追究乙方违约责任。</w:t>
      </w:r>
    </w:p>
    <w:p>
      <w:pPr>
        <w:pStyle w:val="null3"/>
        <w:ind w:firstLine="420"/>
      </w:pPr>
      <w:r>
        <w:rPr>
          <w:sz w:val="21"/>
        </w:rPr>
        <w:t>3、甲方延迟支付款项的，应当支付逾期利息。按照每日利率万分之</w:t>
      </w:r>
      <w:r>
        <w:rPr>
          <w:sz w:val="21"/>
          <w:u w:val="single"/>
        </w:rPr>
        <w:t>五</w:t>
      </w:r>
      <w:r>
        <w:rPr>
          <w:sz w:val="21"/>
        </w:rPr>
        <w:t>支付逾期利息。</w:t>
      </w:r>
    </w:p>
    <w:p>
      <w:pPr>
        <w:pStyle w:val="null3"/>
        <w:ind w:firstLine="422"/>
      </w:pPr>
      <w:r>
        <w:rPr>
          <w:b/>
          <w:sz w:val="21"/>
        </w:rPr>
        <w:t>第十条</w:t>
      </w:r>
      <w:r>
        <w:rPr>
          <w:b/>
          <w:sz w:val="21"/>
        </w:rPr>
        <w:t xml:space="preserve"> </w:t>
      </w:r>
      <w:r>
        <w:rPr>
          <w:b/>
          <w:sz w:val="21"/>
        </w:rPr>
        <w:t>安全生产要求</w:t>
      </w:r>
    </w:p>
    <w:p>
      <w:pPr>
        <w:pStyle w:val="null3"/>
        <w:ind w:firstLine="420"/>
      </w:pPr>
      <w:r>
        <w:rPr>
          <w:sz w:val="21"/>
        </w:rPr>
        <w:t>1、乙方严格遵守安全生产有关规定，并签订《安全生产、森林防火承诺书》，合同履约期内一切生产、防火安全由乙方负责。甲方依法对乙方开展安全生产、森林防火监督工作，乙方应积极配合，并对存在的安全隐患负责限期整改到位，因安全生产及森林防火产生的一切责任及损失由乙方承担。</w:t>
      </w:r>
    </w:p>
    <w:p>
      <w:pPr>
        <w:pStyle w:val="null3"/>
        <w:ind w:firstLine="420"/>
      </w:pPr>
      <w:r>
        <w:rPr>
          <w:sz w:val="21"/>
        </w:rPr>
        <w:t>2、乙方在合同履约期内发生以下事件之一的，均视为乙方违反安全生产要求，甲方有权单方面解除合同，并追究其违约责任。</w:t>
      </w:r>
    </w:p>
    <w:p>
      <w:pPr>
        <w:pStyle w:val="null3"/>
        <w:ind w:firstLine="420"/>
      </w:pPr>
      <w:r>
        <w:rPr>
          <w:sz w:val="21"/>
        </w:rPr>
        <w:t>（</w:t>
      </w:r>
      <w:r>
        <w:rPr>
          <w:sz w:val="21"/>
        </w:rPr>
        <w:t>1）发生森林火灾事故；</w:t>
      </w:r>
    </w:p>
    <w:p>
      <w:pPr>
        <w:pStyle w:val="null3"/>
        <w:ind w:firstLine="420"/>
      </w:pPr>
      <w:r>
        <w:rPr>
          <w:sz w:val="21"/>
        </w:rPr>
        <w:t>（</w:t>
      </w:r>
      <w:r>
        <w:rPr>
          <w:sz w:val="21"/>
        </w:rPr>
        <w:t>2）乙方发生人身损害事故；</w:t>
      </w:r>
    </w:p>
    <w:p>
      <w:pPr>
        <w:pStyle w:val="null3"/>
        <w:ind w:firstLine="420"/>
      </w:pPr>
      <w:r>
        <w:rPr>
          <w:sz w:val="21"/>
        </w:rPr>
        <w:t>（</w:t>
      </w:r>
      <w:r>
        <w:rPr>
          <w:sz w:val="21"/>
        </w:rPr>
        <w:t>3）乙方造成他人人身损害事故；</w:t>
      </w:r>
    </w:p>
    <w:p>
      <w:pPr>
        <w:pStyle w:val="null3"/>
        <w:ind w:firstLine="420"/>
      </w:pPr>
      <w:r>
        <w:rPr>
          <w:sz w:val="21"/>
        </w:rPr>
        <w:t>（</w:t>
      </w:r>
      <w:r>
        <w:rPr>
          <w:sz w:val="21"/>
        </w:rPr>
        <w:t>4）其他造成人身损害和财产损失的行为。</w:t>
      </w:r>
    </w:p>
    <w:p>
      <w:pPr>
        <w:pStyle w:val="null3"/>
        <w:ind w:firstLine="422"/>
      </w:pPr>
      <w:r>
        <w:rPr>
          <w:b/>
          <w:sz w:val="21"/>
        </w:rPr>
        <w:t>第十一条</w:t>
      </w:r>
      <w:r>
        <w:rPr>
          <w:b/>
          <w:sz w:val="21"/>
        </w:rPr>
        <w:t xml:space="preserve"> </w:t>
      </w:r>
      <w:r>
        <w:rPr>
          <w:b/>
          <w:sz w:val="21"/>
        </w:rPr>
        <w:t>违约责任</w:t>
      </w:r>
    </w:p>
    <w:p>
      <w:pPr>
        <w:pStyle w:val="null3"/>
        <w:ind w:firstLine="420"/>
      </w:pPr>
      <w:r>
        <w:rPr>
          <w:sz w:val="21"/>
        </w:rPr>
        <w:t>1、乙方逾期完工的，每拖延一天向甲方支付工程中标款0.1%的违约金。如确因天气等不可抗力因素造成延迟的，乙方须在合同期限前向甲方提出书面申请，经甲方同意后方可顺延工期。</w:t>
      </w:r>
    </w:p>
    <w:p>
      <w:pPr>
        <w:pStyle w:val="null3"/>
        <w:ind w:firstLine="420"/>
      </w:pPr>
      <w:r>
        <w:rPr>
          <w:sz w:val="21"/>
        </w:rPr>
        <w:t>2、乙方在工期内擅自停工的，甲方有权单方面解除合同，并追究乙方停工造成甲方的损失，包括但不限于直接经济损失，以及为维护甲方权益而产生的诉讼费、律师费、担保费、保全费（保费）、公证费等维权费用，均由乙方承担。</w:t>
      </w:r>
    </w:p>
    <w:p>
      <w:pPr>
        <w:pStyle w:val="null3"/>
        <w:ind w:firstLine="420"/>
      </w:pPr>
      <w:r>
        <w:rPr>
          <w:sz w:val="21"/>
        </w:rPr>
        <w:t>3、乙方擅自转包、分包的，甲方有权单方面解除合同，并追究乙方违约责任。因此而导致甲方损失的，包括但不限于直接经济损失，为维护甲方权益而产生的诉讼费、律师费、担保费、保全费（保费）、公证费等维权费用，均由乙方承担。</w:t>
      </w:r>
    </w:p>
    <w:p>
      <w:pPr>
        <w:pStyle w:val="null3"/>
        <w:ind w:firstLine="420"/>
      </w:pPr>
      <w:r>
        <w:rPr>
          <w:sz w:val="21"/>
        </w:rPr>
        <w:t>4、甲方无正当理由拒绝工程验收或拒付工程款的，乙方可向甲方上级有关部门申诉，并追究甲方违约责任。</w:t>
      </w:r>
    </w:p>
    <w:p>
      <w:pPr>
        <w:pStyle w:val="null3"/>
        <w:ind w:firstLine="422"/>
      </w:pPr>
      <w:r>
        <w:rPr>
          <w:b/>
          <w:sz w:val="21"/>
        </w:rPr>
        <w:t>第十二条</w:t>
      </w:r>
      <w:r>
        <w:rPr>
          <w:b/>
          <w:sz w:val="21"/>
        </w:rPr>
        <w:t xml:space="preserve"> </w:t>
      </w:r>
      <w:r>
        <w:rPr>
          <w:b/>
          <w:sz w:val="21"/>
        </w:rPr>
        <w:t>合同解除、终止</w:t>
      </w:r>
    </w:p>
    <w:p>
      <w:pPr>
        <w:pStyle w:val="null3"/>
        <w:ind w:firstLine="420"/>
      </w:pPr>
      <w:r>
        <w:rPr>
          <w:sz w:val="21"/>
        </w:rPr>
        <w:t>1、乙方不按本合同有关条款组织施工，不遵守投标文件所作承诺，即属乙方违约，甲方有权解除本合同，并追究乙方违约责任。</w:t>
      </w:r>
    </w:p>
    <w:p>
      <w:pPr>
        <w:pStyle w:val="null3"/>
        <w:ind w:firstLine="420"/>
      </w:pPr>
      <w:r>
        <w:rPr>
          <w:sz w:val="21"/>
        </w:rPr>
        <w:t>2、如果一方严重违反合同，在收到对方违约通知书后10天内仍未能改正违约的，另一方有权解除本合同，并追究对方违约责任。</w:t>
      </w:r>
    </w:p>
    <w:p>
      <w:pPr>
        <w:pStyle w:val="null3"/>
        <w:ind w:firstLine="420"/>
      </w:pPr>
      <w:r>
        <w:rPr>
          <w:sz w:val="21"/>
        </w:rPr>
        <w:t>3、乙方存在违反招投标法的行为，导致中标无效的，甲方有权无条件解除合同，乙方应退还已收工程款（如有），已经完成的工程款作为违约金，弥补甲方因此而造成的损失。</w:t>
      </w:r>
    </w:p>
    <w:p>
      <w:pPr>
        <w:pStyle w:val="null3"/>
        <w:ind w:firstLine="420"/>
      </w:pPr>
      <w:r>
        <w:rPr>
          <w:sz w:val="21"/>
        </w:rPr>
        <w:t>4、本合同自合同权益义务履行完毕，或收到另一方解除合同通知书之日起终止。</w:t>
      </w:r>
    </w:p>
    <w:p>
      <w:pPr>
        <w:pStyle w:val="null3"/>
        <w:ind w:firstLine="422"/>
      </w:pPr>
      <w:r>
        <w:rPr>
          <w:b/>
          <w:sz w:val="21"/>
        </w:rPr>
        <w:t>第十三条</w:t>
      </w:r>
      <w:r>
        <w:rPr>
          <w:b/>
          <w:sz w:val="21"/>
        </w:rPr>
        <w:t xml:space="preserve"> </w:t>
      </w:r>
      <w:r>
        <w:rPr>
          <w:b/>
          <w:sz w:val="21"/>
        </w:rPr>
        <w:t>法律诉讼</w:t>
      </w:r>
    </w:p>
    <w:p>
      <w:pPr>
        <w:pStyle w:val="null3"/>
        <w:ind w:firstLine="420"/>
      </w:pPr>
      <w:r>
        <w:rPr>
          <w:sz w:val="21"/>
        </w:rPr>
        <w:t>在履约过程中发生争议，双方应通过友好协商解决，协商或调解不成时，可以向签订合同所在地的人民法院提起诉讼。</w:t>
      </w:r>
    </w:p>
    <w:p>
      <w:pPr>
        <w:pStyle w:val="null3"/>
        <w:ind w:firstLine="422"/>
      </w:pPr>
      <w:r>
        <w:rPr>
          <w:b/>
          <w:sz w:val="21"/>
        </w:rPr>
        <w:t>第十四条</w:t>
      </w:r>
      <w:r>
        <w:rPr>
          <w:b/>
          <w:sz w:val="21"/>
        </w:rPr>
        <w:t xml:space="preserve"> </w:t>
      </w:r>
      <w:r>
        <w:rPr>
          <w:b/>
          <w:sz w:val="21"/>
        </w:rPr>
        <w:t>其他</w:t>
      </w:r>
    </w:p>
    <w:p>
      <w:pPr>
        <w:pStyle w:val="null3"/>
        <w:ind w:firstLine="420"/>
      </w:pPr>
      <w:r>
        <w:rPr>
          <w:sz w:val="21"/>
        </w:rPr>
        <w:t>1、乙方须为参与本项目的工作人员购买人身意外保险，保险期须涵盖整个项目服务期。</w:t>
      </w:r>
    </w:p>
    <w:p>
      <w:pPr>
        <w:pStyle w:val="null3"/>
        <w:ind w:firstLine="420"/>
      </w:pPr>
      <w:r>
        <w:rPr>
          <w:sz w:val="21"/>
        </w:rPr>
        <w:t>2、本合同一式五份，甲方三份，乙方一份，采购代理机构一份，每份均具有同等法律效力。本合同自双方签字加盖公章之日起生效。</w:t>
      </w:r>
    </w:p>
    <w:p>
      <w:pPr>
        <w:pStyle w:val="null3"/>
        <w:ind w:firstLine="420"/>
      </w:pPr>
      <w:r>
        <w:rPr>
          <w:sz w:val="21"/>
        </w:rPr>
        <w:t>3、本合同未尽事宜的，双方另行协商并签订书面补充合同。补充合同与本合同具有同等法律效力。</w:t>
      </w:r>
    </w:p>
    <w:p>
      <w:pPr>
        <w:pStyle w:val="null3"/>
        <w:ind w:firstLine="420"/>
      </w:pPr>
    </w:p>
    <w:tbl>
      <w:tblPr>
        <w:tblW w:w="0" w:type="auto"/>
        <w:tblBorders>
          <w:top w:val="none" w:color="000000" w:sz="4"/>
          <w:left w:val="none" w:color="000000" w:sz="4"/>
          <w:bottom w:val="none" w:color="000000" w:sz="4"/>
          <w:right w:val="none" w:color="000000" w:sz="4"/>
          <w:insideH w:val="none"/>
          <w:insideV w:val="none"/>
        </w:tblBorders>
      </w:tblPr>
      <w:tblGrid>
        <w:gridCol w:w="4160"/>
        <w:gridCol w:w="4146"/>
      </w:tblGrid>
      <w:tr>
        <w:tc>
          <w:tcPr>
            <w:tcW w:type="dxa" w:w="41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19"/>
              </w:rPr>
              <w:t xml:space="preserve"> </w:t>
            </w:r>
          </w:p>
          <w:p>
            <w:pPr>
              <w:pStyle w:val="null3"/>
              <w:ind w:firstLine="420"/>
            </w:pPr>
            <w:r>
              <w:rPr>
                <w:sz w:val="19"/>
              </w:rPr>
              <w:t xml:space="preserve"> </w:t>
            </w:r>
          </w:p>
          <w:p>
            <w:pPr>
              <w:pStyle w:val="null3"/>
              <w:ind w:firstLine="420"/>
            </w:pPr>
            <w:r>
              <w:rPr>
                <w:sz w:val="21"/>
              </w:rPr>
              <w:t>甲方：广东省云浮林场</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19"/>
              </w:rPr>
              <w:t xml:space="preserve"> </w:t>
            </w:r>
          </w:p>
          <w:p>
            <w:pPr>
              <w:pStyle w:val="null3"/>
              <w:ind w:firstLine="420"/>
            </w:pPr>
            <w:r>
              <w:rPr>
                <w:sz w:val="19"/>
              </w:rPr>
              <w:t xml:space="preserve"> </w:t>
            </w:r>
          </w:p>
          <w:p>
            <w:pPr>
              <w:pStyle w:val="null3"/>
              <w:ind w:firstLine="420"/>
            </w:pPr>
            <w:r>
              <w:rPr>
                <w:sz w:val="21"/>
              </w:rPr>
              <w:t>乙方：</w:t>
            </w:r>
          </w:p>
        </w:tc>
      </w:tr>
      <w:tr>
        <w:tc>
          <w:tcPr>
            <w:tcW w:type="dxa" w:w="41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地</w:t>
            </w:r>
            <w:r>
              <w:rPr>
                <w:sz w:val="21"/>
              </w:rPr>
              <w:t xml:space="preserve"> </w:t>
            </w:r>
            <w:r>
              <w:rPr>
                <w:sz w:val="21"/>
              </w:rPr>
              <w:t>址：新兴县城西路</w:t>
            </w:r>
            <w:r>
              <w:rPr>
                <w:sz w:val="21"/>
              </w:rPr>
              <w:t>1号</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地</w:t>
            </w:r>
            <w:r>
              <w:rPr>
                <w:sz w:val="21"/>
              </w:rPr>
              <w:t xml:space="preserve"> </w:t>
            </w:r>
            <w:r>
              <w:rPr>
                <w:sz w:val="21"/>
              </w:rPr>
              <w:t>址：</w:t>
            </w:r>
          </w:p>
        </w:tc>
      </w:tr>
      <w:tr>
        <w:tc>
          <w:tcPr>
            <w:tcW w:type="dxa" w:w="41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开户行：中国农业银行股份有限公司新兴县支行</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开户行：</w:t>
            </w:r>
          </w:p>
        </w:tc>
      </w:tr>
      <w:tr>
        <w:tc>
          <w:tcPr>
            <w:tcW w:type="dxa" w:w="41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账</w:t>
            </w:r>
            <w:r>
              <w:rPr>
                <w:sz w:val="21"/>
              </w:rPr>
              <w:t xml:space="preserve"> </w:t>
            </w:r>
            <w:r>
              <w:rPr>
                <w:sz w:val="21"/>
              </w:rPr>
              <w:t>号：</w:t>
            </w:r>
            <w:r>
              <w:rPr>
                <w:sz w:val="21"/>
              </w:rPr>
              <w:t>44666101040014657</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账</w:t>
            </w:r>
            <w:r>
              <w:rPr>
                <w:sz w:val="21"/>
              </w:rPr>
              <w:t xml:space="preserve"> </w:t>
            </w:r>
            <w:r>
              <w:rPr>
                <w:sz w:val="21"/>
              </w:rPr>
              <w:t>号：</w:t>
            </w:r>
          </w:p>
        </w:tc>
      </w:tr>
      <w:tr>
        <w:tc>
          <w:tcPr>
            <w:tcW w:type="dxa" w:w="416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ind w:firstLine="420"/>
            </w:pPr>
            <w:r>
              <w:rPr>
                <w:sz w:val="21"/>
              </w:rPr>
              <w:t>负责人签名：</w:t>
            </w:r>
          </w:p>
          <w:p>
            <w:pPr>
              <w:pStyle w:val="null3"/>
              <w:ind w:firstLine="420"/>
            </w:pPr>
            <w:r>
              <w:rPr>
                <w:sz w:val="21"/>
              </w:rPr>
              <w:t>签订日期：</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pPr>
            <w:r>
              <w:rPr>
                <w:sz w:val="21"/>
              </w:rPr>
              <w:t>负责人签名：</w:t>
            </w:r>
          </w:p>
          <w:p>
            <w:pPr>
              <w:pStyle w:val="null3"/>
              <w:ind w:firstLine="420"/>
            </w:pPr>
            <w:r>
              <w:rPr>
                <w:sz w:val="21"/>
              </w:rPr>
              <w:t>签订日期：</w:t>
            </w:r>
          </w:p>
        </w:tc>
      </w:tr>
    </w:tbl>
    <w:p>
      <w:pPr>
        <w:pStyle w:val="null3"/>
        <w:ind w:left="570" w:firstLine="480"/>
        <w:jc w:val="right"/>
      </w:pPr>
    </w:p>
    <w:p>
      <w:pPr>
        <w:pStyle w:val="null3"/>
      </w:pPr>
    </w:p>
    <w:p>
      <w:pPr>
        <w:pStyle w:val="null3"/>
      </w:pPr>
      <w:r>
        <w:br/>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440001-2024-08888</w:t>
      </w:r>
    </w:p>
    <w:p>
      <w:pPr>
        <w:pStyle w:val="null3"/>
        <w:ind w:firstLine="480"/>
        <w:jc w:val="center"/>
        <w:outlineLvl w:val="3"/>
      </w:pPr>
      <w:r>
        <w:rPr>
          <w:b/>
          <w:sz w:val="24"/>
        </w:rPr>
        <w:t>采购项目编号：</w:t>
      </w:r>
      <w:r>
        <w:rPr>
          <w:b/>
          <w:sz w:val="24"/>
        </w:rPr>
        <w:t>YFZC24FC0015</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云浮市中策招标咨询服务有限公司</w:t>
      </w:r>
    </w:p>
    <w:p>
      <w:pPr>
        <w:pStyle w:val="null3"/>
        <w:ind w:firstLine="480"/>
      </w:pPr>
      <w:r>
        <w:rPr/>
        <w:t>你方组织的</w:t>
      </w:r>
      <w:r>
        <w:rPr>
          <w:u w:val="single"/>
        </w:rPr>
        <w:t>“</w:t>
      </w:r>
      <w:r>
        <w:rPr>
          <w:u w:val="single"/>
        </w:rPr>
        <w:t>广东省云浮林场2024年大径材培育示范林建设项目</w:t>
      </w:r>
      <w:r>
        <w:rPr>
          <w:u w:val="single"/>
        </w:rPr>
        <w:t>”</w:t>
      </w:r>
      <w:r>
        <w:rPr/>
        <w:t>项目的竞争性磋商[采购项目编号为：</w:t>
      </w:r>
      <w:r>
        <w:rPr>
          <w:u w:val="single"/>
        </w:rPr>
        <w:t>YFZC24FC0015</w:t>
      </w:r>
      <w:r>
        <w:rPr/>
        <w:t>]，我方愿参与响应。</w:t>
      </w:r>
    </w:p>
    <w:p>
      <w:pPr>
        <w:pStyle w:val="null3"/>
        <w:ind w:firstLine="480"/>
      </w:pPr>
      <w:r>
        <w:rPr/>
        <w:t>我方确认收到贵方提供的</w:t>
      </w:r>
      <w:r>
        <w:rPr>
          <w:u w:val="single"/>
        </w:rPr>
        <w:t>“</w:t>
      </w:r>
      <w:r>
        <w:rPr>
          <w:u w:val="single"/>
        </w:rPr>
        <w:t>广东省云浮林场2024年大径材培育示范林建设项目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云浮市中策招标咨询服务有限公司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广东省云浮林场2024年大径材培育示范林建设项目</w:t>
      </w:r>
      <w:r>
        <w:rPr/>
        <w:t>”项目采购[采购项目编号为</w:t>
      </w:r>
      <w:r>
        <w:rPr/>
        <w:t>YFZC24FC0015</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广东省云浮林场</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云浮市中策招标咨询服务有限公司</w:t>
      </w:r>
    </w:p>
    <w:p>
      <w:pPr>
        <w:pStyle w:val="null3"/>
        <w:ind w:firstLine="480"/>
      </w:pPr>
      <w:r>
        <w:rPr/>
        <w:t>我单位参加贵公司组织的</w:t>
      </w:r>
      <w:r>
        <w:rPr/>
        <w:t>广东省云浮林场2024年大径材培育示范林建设项目</w:t>
      </w:r>
      <w:r>
        <w:rPr/>
        <w:t>（采购项目编号：</w:t>
      </w:r>
      <w:r>
        <w:rPr/>
        <w:t>YFZC24FC0015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云浮市中策招标咨询服务有限公司</w:t>
      </w:r>
    </w:p>
    <w:p>
      <w:pPr>
        <w:pStyle w:val="null3"/>
        <w:ind w:firstLine="480"/>
      </w:pPr>
      <w:r>
        <w:rPr/>
        <w:t>我单位已登记并准备参与“</w:t>
      </w:r>
      <w:r>
        <w:rPr/>
        <w:t>广东省云浮林场2024年大径材培育示范林建设项目</w:t>
      </w:r>
      <w:r>
        <w:rPr/>
        <w:t>”项目（采购项目编号：</w:t>
      </w:r>
      <w:r>
        <w:rPr/>
        <w:t>YFZC24FC0015</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