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445321-2024-00087</w:t>
      </w:r>
    </w:p>
    <w:p>
      <w:pPr>
        <w:jc w:val="center"/>
      </w:pPr>
      <w:r>
        <w:rPr>
          <w:b/>
          <w:sz w:val="24"/>
        </w:rPr>
        <w:t>采购项目编号：</w:t>
      </w:r>
      <w:r>
        <w:rPr>
          <w:b/>
          <w:sz w:val="24"/>
        </w:rPr>
        <w:t>YFZC24FC0006</w:t>
      </w:r>
    </w:p>
    <w:p>
      <w:pPr>
        <w:jc w:val="center"/>
      </w:pPr>
      <w:r>
        <w:rPr>
          <w:b/>
          <w:sz w:val="24"/>
        </w:rPr>
        <w:t>项目名称：</w:t>
      </w:r>
      <w:r>
        <w:rPr>
          <w:b/>
          <w:sz w:val="24"/>
        </w:rPr>
        <w:t>新兴县河头镇撂荒耕地综合整治项目</w:t>
      </w:r>
    </w:p>
    <w:p>
      <w:pPr>
        <w:jc w:val="center"/>
      </w:pPr>
      <w:r>
        <w:rPr>
          <w:b/>
          <w:sz w:val="24"/>
        </w:rPr>
        <w:t>采购人：</w:t>
      </w:r>
      <w:r>
        <w:rPr>
          <w:b/>
          <w:sz w:val="24"/>
        </w:rPr>
        <w:t>新兴县河头镇人民政府（本级）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新兴县河头镇人民政府（本级）</w:t>
      </w:r>
      <w:r>
        <w:rPr/>
        <w:t>的委托，采用</w:t>
      </w:r>
      <w:r>
        <w:rPr/>
        <w:t>竞争性磋商</w:t>
      </w:r>
      <w:r>
        <w:rPr/>
        <w:t>方式组织采购</w:t>
      </w:r>
      <w:r>
        <w:rPr/>
        <w:t>新兴县河头镇撂荒耕地综合整治项目</w:t>
      </w:r>
      <w:r>
        <w:rPr/>
        <w:t>。欢迎符合资格条件的供应商参加。</w:t>
      </w:r>
    </w:p>
    <w:p>
      <w:r>
        <w:rPr>
          <w:b/>
          <w:sz w:val="28"/>
        </w:rPr>
        <w:t>一.项目概述</w:t>
      </w:r>
    </w:p>
    <w:p>
      <w:r>
        <w:rPr>
          <w:b/>
          <w:sz w:val="24"/>
        </w:rPr>
        <w:t>1.名称与编号</w:t>
      </w:r>
    </w:p>
    <w:p>
      <w:pPr>
        <w:ind w:firstLine="480"/>
      </w:pPr>
      <w:r>
        <w:rPr/>
        <w:t>采购项目名称：</w:t>
      </w:r>
      <w:r>
        <w:rPr/>
        <w:t>新兴县河头镇撂荒耕地综合整治项目</w:t>
      </w:r>
    </w:p>
    <w:p>
      <w:pPr>
        <w:ind w:firstLine="480"/>
      </w:pPr>
      <w:r>
        <w:rPr/>
        <w:t>采购计划编号：</w:t>
      </w:r>
      <w:r>
        <w:rPr/>
        <w:t>445321-2024-00087</w:t>
      </w:r>
    </w:p>
    <w:p>
      <w:pPr>
        <w:ind w:firstLine="480"/>
      </w:pPr>
      <w:r>
        <w:rPr/>
        <w:t>采购项目编号：</w:t>
      </w:r>
      <w:r>
        <w:rPr/>
        <w:t>YFZC24FC0006</w:t>
      </w:r>
    </w:p>
    <w:p>
      <w:pPr>
        <w:ind w:firstLine="480"/>
      </w:pPr>
      <w:r>
        <w:rPr/>
        <w:t>采购方式：</w:t>
      </w:r>
      <w:r>
        <w:rPr/>
        <w:t>竞争性磋商</w:t>
      </w:r>
    </w:p>
    <w:p>
      <w:pPr>
        <w:ind w:firstLine="480"/>
      </w:pPr>
      <w:r>
        <w:rPr/>
        <w:t>预算金额：</w:t>
      </w:r>
      <w:r>
        <w:rPr/>
        <w:t>3,500,000.00</w:t>
      </w:r>
      <w:r>
        <w:rPr/>
        <w:t>元</w:t>
      </w:r>
    </w:p>
    <w:p>
      <w:r>
        <w:rPr>
          <w:b/>
          <w:sz w:val="24"/>
        </w:rPr>
        <w:t>2.项目内容及需求情况（采购项目技术规格、参数及要求）</w:t>
      </w:r>
    </w:p>
    <w:p>
      <w:pPr>
        <w:ind w:firstLine="480"/>
      </w:pPr>
    </w:p>
    <w:p/>
    <w:p>
      <w:r>
        <w:rPr/>
        <w:t>采购包1(新兴县河头镇撂荒耕地综合整治项目):</w:t>
      </w:r>
    </w:p>
    <w:p>
      <w:r>
        <w:rPr/>
        <w:t>采购包预算金额：3,500,000.00元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其他农业服务</w:t>
            </w:r>
          </w:p>
        </w:tc>
        <w:tc>
          <w:tcPr>
            <w:tcW w:type="dxa" w:w="2052"/>
          </w:tcPr>
          <w:p>
            <w:r>
              <w:rPr/>
              <w:t>新兴县河头镇撂荒耕地综合整治项目</w:t>
            </w:r>
          </w:p>
        </w:tc>
        <w:tc>
          <w:tcPr>
            <w:tcW w:type="dxa" w:w="977"/>
          </w:tcPr>
          <w:p>
            <w:r>
              <w:rPr/>
              <w:t>1.00(项)</w:t>
            </w:r>
          </w:p>
        </w:tc>
        <w:tc>
          <w:tcPr>
            <w:tcW w:type="dxa" w:w="977"/>
          </w:tcPr>
          <w:p>
            <w:r>
              <w:rPr/>
              <w:t>详见第二章</w:t>
            </w:r>
          </w:p>
        </w:tc>
        <w:tc>
          <w:tcPr>
            <w:tcW w:type="dxa" w:w="977"/>
          </w:tcPr>
          <w:p>
            <w:r>
              <w:rPr/>
              <w:t>3,500,000.00</w:t>
            </w:r>
          </w:p>
        </w:tc>
        <w:tc>
          <w:tcPr>
            <w:tcW w:type="dxa" w:w="977"/>
          </w:tcPr>
          <w:p>
            <w:r>
              <w:rPr/>
              <w:t>否</w:t>
            </w:r>
          </w:p>
        </w:tc>
      </w:tr>
    </w:tbl>
    <w:p/>
    <w:p>
      <w:r>
        <w:rPr/>
        <w:t>本采购包不接受联合体响应</w:t>
      </w:r>
    </w:p>
    <w:p/>
    <w:p>
      <w:r>
        <w:rPr/>
        <w:t>合同履行期限：（1）水稻种植示范基地建设：自合同签订生效之日起5年。（2）撂荒耕地综合整治（不含种植基地）：自合同签订生效之日起3年。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采购包1（新兴县河头镇撂荒耕地综合整治项目）：</w:t>
      </w:r>
      <w:r>
        <w:rPr/>
        <w:t>参与的供应商服务全部由符合政策要求的中小企业承接。</w:t>
      </w:r>
    </w:p>
    <w:p/>
    <w:p>
      <w:r>
        <w:rPr>
          <w:b/>
          <w:sz w:val="24"/>
        </w:rPr>
        <w:t>3.本项目特定的资格要求：</w:t>
      </w:r>
    </w:p>
    <w:p>
      <w:pPr>
        <w:ind w:firstLine="480"/>
      </w:pPr>
    </w:p>
    <w:p/>
    <w:p>
      <w:r>
        <w:rPr/>
        <w:t>采购包1（新兴县河头镇撂荒耕地综合整治项目）：</w:t>
      </w:r>
    </w:p>
    <w:p/>
    <w:p>
      <w:r>
        <w:rPr/>
        <w:t>1)（1）供应商须具备法律、行政法规规定的其他条件：在响应文件中提供声明函。 （2）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（3）本项目不接受联合体参加投标，不允许转包和分包。 （4）本项目为一个整体，供应商须对全部内容进行投标，不得分拆。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新兴县河头镇人民政府（本级）</w:t>
      </w:r>
    </w:p>
    <w:p>
      <w:pPr>
        <w:ind w:firstLine="480"/>
      </w:pPr>
      <w:r>
        <w:rPr/>
        <w:t>地址：</w:t>
      </w:r>
      <w:r>
        <w:rPr/>
        <w:t>广东省云浮市新兴县河头镇河头圩</w:t>
      </w:r>
    </w:p>
    <w:p>
      <w:pPr>
        <w:ind w:firstLine="480"/>
      </w:pPr>
      <w:r>
        <w:rPr/>
        <w:t>联系方式：</w:t>
      </w:r>
      <w:r>
        <w:rPr/>
        <w:t>莫先生 0766-2221068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1"/>
        </w:rPr>
        <w:t>为保护耕地红线，确保粮食安全，加强产业发展，计划实施新兴县河头镇撂荒耕地综合整治项目，对河头镇撂荒耕地进行整治、清除杂树杂草、恢复耕作地块、建设修复灌溉渠及排水设施、建设机耕路、机耕桥和其它简便交通水利设施等，促进撂荒耕地复耕复种和粮食增产增收。</w:t>
      </w:r>
    </w:p>
    <w:p/>
    <w:p>
      <w:pPr>
        <w:ind w:firstLine="480"/>
      </w:pPr>
    </w:p>
    <w:p/>
    <w:p>
      <w:r>
        <w:rPr/>
        <w:t>采购包1（新兴县河头镇撂荒耕地综合整治项目）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★（1）水稻种植示范基地建设：自合同签订生效之日起5年。★（2）撂荒耕地综合整治（不含种植基地）：自合同签订生效之日起3年。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1期：支付比例50%,★合同签订后，采购人向成交供应商支付合同总金额的50%作为预付款；</w:t>
            </w:r>
          </w:p>
          <w:p/>
          <w:p>
            <w:r>
              <w:rPr/>
              <w:t>2期：支付比例40%,★成交供应商在2024年7-8月左右完成种植基地建设、完成本项目范围内所有撂荒耕地（包含种植基地）的第一造粮食作物种植，且本项目实施所需的交通水利设施修建完成后，采购人再向成交供应商支付至合同总金额的90%；</w:t>
            </w:r>
          </w:p>
          <w:p/>
          <w:p>
            <w:r>
              <w:rPr/>
              <w:t>3期：支付比例10%,★成交供应商全面完成本项目范围内所有撂荒耕地（包含种植基地）的第二造粮食作物种植后，采购人在2024年12月31日前向成交供应商付清合同余款。</w:t>
            </w:r>
          </w:p>
        </w:tc>
      </w:tr>
      <w:tr>
        <w:tc>
          <w:tcPr>
            <w:tcW w:type="dxa" w:w="4153"/>
          </w:tcPr>
          <w:p>
            <w:r>
              <w:rPr/>
              <w:t>验收要求</w:t>
            </w:r>
          </w:p>
        </w:tc>
        <w:tc>
          <w:tcPr>
            <w:tcW w:type="dxa" w:w="4153"/>
          </w:tcPr>
          <w:p/>
          <w:p/>
          <w:p/>
          <w:p>
            <w:r>
              <w:rPr/>
              <w:t>1期：★（1）成交供应商提交的项目成果须满足国家、省、市有关法律法规、规范、规定、规程、标准、规划等要求并按照采购文件要求执行。 ★（2）成交供应商要确保该项目完成后通过采购人组织的多次或不定期验收，并确保在该项目通过验收后必须到达各级政府的图斑验收要求。</w:t>
            </w:r>
          </w:p>
        </w:tc>
      </w:tr>
      <w:tr>
        <w:tc>
          <w:tcPr>
            <w:tcW w:type="dxa" w:w="4153"/>
          </w:tcPr>
          <w:p>
            <w:r>
              <w:rPr/>
              <w:t>履约保证金</w:t>
            </w:r>
          </w:p>
        </w:tc>
        <w:tc>
          <w:tcPr>
            <w:tcW w:type="dxa" w:w="4153"/>
          </w:tcPr>
          <w:p/>
          <w:p/>
          <w:p/>
          <w:p/>
          <w:p>
            <w:r>
              <w:rPr/>
              <w:t>收取比例：5%,说明：★（1）成交供应商须在合同签订前向采购人提交履约保证金（合同总价的5%）。如果成交供应商拒绝提交履约保证金，采购人将有充分理由取消其成交资格，成交供应商应承担违约责任。 ★（2）履约保证金提交方式：由供应商自主选择以支票、汇票、本票或者金融机构、担保机构出具的保函等非现金形式提交。 ★（3）履约保证金退还方式：原路退还。 ★（4）在合同履行期间如无出现违反采购文件及合同条款的行为，履约保证金在服务期结束（合同期满）后一个月内无息退还（或解除保函）。 ★（5）若出现以下情形，履约保证金将不予退还： ①成交供应商将中标项目转让或分包给他人； ②成交供应商无故拒绝履行合同； ③成交供应商连续三次项目验收整改不通过。 ★（6）采购人如逾期退还履约保证金，则每日按履约保证金的1‰向成交供应商偿付违约金；如为保函、保险形式的履约保证金，则项目验收通过后解除项目履约担保（或银行保函、或项目保险）即可。</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（1）供应商的报价须以人民币元为单位（小数点后可保留两位小数），所报的价格不得高于项目预算。 （2）供应商的报价为含税全包价，报价必须包括基础设施建设费、机械费、物料费、人工费、交通费、各项税费等完成合同规定责任和义务、达到合同目的的一切费用。</w:t>
            </w:r>
          </w:p>
        </w:tc>
      </w:tr>
      <w:tr>
        <w:tc>
          <w:tcPr>
            <w:tcW w:type="dxa" w:w="2076"/>
          </w:tcPr>
          <w:p>
            <w:pPr>
              <w:jc w:val="center"/>
            </w:pPr>
          </w:p>
        </w:tc>
        <w:tc>
          <w:tcPr>
            <w:tcW w:type="dxa" w:w="2076"/>
          </w:tcPr>
          <w:p>
            <w:pPr>
              <w:jc w:val="center"/>
            </w:pPr>
            <w:r>
              <w:rPr/>
              <w:t>2</w:t>
            </w:r>
          </w:p>
        </w:tc>
        <w:tc>
          <w:tcPr>
            <w:tcW w:type="dxa" w:w="2076"/>
          </w:tcPr>
          <w:p>
            <w:pPr>
              <w:jc w:val="left"/>
            </w:pPr>
            <w:r>
              <w:rPr/>
              <w:t>保险</w:t>
            </w:r>
          </w:p>
        </w:tc>
        <w:tc>
          <w:tcPr>
            <w:tcW w:type="dxa" w:w="2076"/>
          </w:tcPr>
          <w:p>
            <w:pPr>
              <w:jc w:val="left"/>
            </w:pPr>
            <w:r>
              <w:rPr/>
              <w:t>成交供应商须为参与本项目的工作人员购买人身意外保险，保险期须涵盖整个项目服务期。</w:t>
            </w:r>
          </w:p>
        </w:tc>
      </w:tr>
      <w:tr>
        <w:tc>
          <w:tcPr>
            <w:tcW w:type="dxa" w:w="2076"/>
          </w:tcPr>
          <w:p>
            <w:pPr>
              <w:jc w:val="center"/>
            </w:pPr>
            <w:r>
              <w:rPr/>
              <w:t>★</w:t>
            </w:r>
          </w:p>
        </w:tc>
        <w:tc>
          <w:tcPr>
            <w:tcW w:type="dxa" w:w="2076"/>
          </w:tcPr>
          <w:p>
            <w:pPr>
              <w:jc w:val="center"/>
            </w:pPr>
            <w:r>
              <w:rPr/>
              <w:t>3</w:t>
            </w:r>
          </w:p>
        </w:tc>
        <w:tc>
          <w:tcPr>
            <w:tcW w:type="dxa" w:w="2076"/>
          </w:tcPr>
          <w:p>
            <w:pPr>
              <w:jc w:val="left"/>
            </w:pPr>
            <w:r>
              <w:rPr/>
              <w:t>违约责任</w:t>
            </w:r>
          </w:p>
        </w:tc>
        <w:tc>
          <w:tcPr>
            <w:tcW w:type="dxa" w:w="2076"/>
          </w:tcPr>
          <w:p>
            <w:pPr>
              <w:jc w:val="left"/>
            </w:pPr>
            <w:r>
              <w:rPr/>
              <w:t>（1）合同签订后，成交供应商无故拒绝履行合同而导致项目中止的，采购人有权解除合同，成交供应商须按合同总金额的100%赔付违约金。 （2）当交通水利设施建设不能满足本项目实施要求的，成交供应商须按照采购人要求进行整改，整改后仍不达标的，扣罚合同总金额的5%。 （3）当项目因种植的作物不符合复耕复种要求或粮食作物成活率≤80%（不可抗力因素除外）而导致项目不能通过验收时，成交供应商须按照采购人要求进行整改，整改后仍达不到验收标准的，扣罚合同总金额的1%（多次验收的按该比例每次进行扣罚）。 （4）当项目因复耕复种的面积达不到撂荒耕地的整治要求而导致项目不能通过验收时，成交供应商须按照采购人要求进行整改，整改后仍达不到验收标准的，不达标部分每亩扣罚人民币5000元（多次验收的按该金额每次进行扣罚）。 （5）验收认定为不合格地块的，如果成交供应商在规定的时限内拒绝整改或整改三次后未能再次验收通过，采购人有权发放本项目终止通知，终止成交单位合同，且成交供应商须按每亩6000元赔付违约金。</w:t>
            </w:r>
          </w:p>
        </w:tc>
      </w:tr>
      <w:tr>
        <w:tc>
          <w:tcPr>
            <w:tcW w:type="dxa" w:w="2076"/>
          </w:tcPr>
          <w:p>
            <w:pPr>
              <w:jc w:val="center"/>
            </w:pPr>
          </w:p>
        </w:tc>
        <w:tc>
          <w:tcPr>
            <w:tcW w:type="dxa" w:w="2076"/>
          </w:tcPr>
          <w:p>
            <w:pPr>
              <w:jc w:val="center"/>
            </w:pPr>
            <w:r>
              <w:rPr/>
              <w:t>4</w:t>
            </w:r>
          </w:p>
        </w:tc>
        <w:tc>
          <w:tcPr>
            <w:tcW w:type="dxa" w:w="2076"/>
          </w:tcPr>
          <w:p>
            <w:pPr>
              <w:jc w:val="left"/>
            </w:pPr>
            <w:r>
              <w:rPr/>
              <w:t>其他要求</w:t>
            </w:r>
          </w:p>
        </w:tc>
        <w:tc>
          <w:tcPr>
            <w:tcW w:type="dxa" w:w="2076"/>
          </w:tcPr>
          <w:p>
            <w:pPr>
              <w:jc w:val="left"/>
            </w:pPr>
            <w:r>
              <w:rPr/>
              <w:t>（1）成交供应商在服务期内违反国家相关法律法规，均由成交供应商负责处理，采购人不予承担任何责任。 （2）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新兴县河头镇撂荒耕地综合整治项目</w:t>
            </w:r>
          </w:p>
        </w:tc>
        <w:tc>
          <w:tcPr>
            <w:tcW w:type="dxa" w:w="933"/>
          </w:tcPr>
          <w:p>
            <w:pPr>
              <w:jc w:val="left"/>
            </w:pPr>
            <w:r>
              <w:rPr/>
              <w:t>项</w:t>
            </w:r>
          </w:p>
        </w:tc>
        <w:tc>
          <w:tcPr>
            <w:tcW w:type="dxa" w:w="933"/>
          </w:tcPr>
          <w:p>
            <w:pPr>
              <w:jc w:val="right"/>
            </w:pPr>
            <w:r>
              <w:rPr/>
              <w:t>1.00</w:t>
            </w:r>
          </w:p>
        </w:tc>
        <w:tc>
          <w:tcPr>
            <w:tcW w:type="dxa" w:w="933"/>
          </w:tcPr>
          <w:p>
            <w:pPr>
              <w:jc w:val="right"/>
            </w:pPr>
            <w:r>
              <w:rPr/>
              <w:t>3,500,000.00</w:t>
            </w:r>
          </w:p>
        </w:tc>
        <w:tc>
          <w:tcPr>
            <w:tcW w:type="dxa" w:w="933"/>
          </w:tcPr>
          <w:p>
            <w:pPr>
              <w:jc w:val="right"/>
            </w:pPr>
            <w:r>
              <w:rPr/>
              <w:t>3,500,000.00</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新兴县河头镇撂荒耕地综合整治项目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）项目需求清单</w:t>
            </w:r>
          </w:p>
          <w:tbl>
            <w:tblPr>
              <w:tblBorders>
                <w:top w:val="none" w:color="000000" w:sz="4"/>
                <w:left w:val="none" w:color="000000" w:sz="4"/>
                <w:bottom w:val="none" w:color="000000" w:sz="4"/>
                <w:right w:val="none" w:color="000000" w:sz="4"/>
                <w:insideH w:val="none"/>
                <w:insideV w:val="none"/>
              </w:tblBorders>
            </w:tblPr>
            <w:tblGrid>
              <w:gridCol w:w="467"/>
              <w:gridCol w:w="1600"/>
              <w:gridCol w:w="751"/>
              <w:gridCol w:w="836"/>
              <w:gridCol w:w="1941"/>
            </w:tblGrid>
            <w:tr>
              <w:tc>
                <w:tcPr>
                  <w:tcW w:type="dxa" w:w="46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600"/>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751"/>
                  <w:tcBorders>
                    <w:top w:val="single" w:color="000000" w:sz="4"/>
                    <w:left w:val="single" w:color="000000" w:sz="4"/>
                    <w:bottom w:val="single" w:color="000000" w:sz="4"/>
                    <w:right w:val="single" w:color="000000" w:sz="4"/>
                  </w:tcBorders>
                  <w:vAlign w:val="top"/>
                </w:tcPr>
                <w:p>
                  <w:pPr>
                    <w:jc w:val="center"/>
                  </w:pPr>
                  <w:r>
                    <w:rPr>
                      <w:b/>
                      <w:sz w:val="21"/>
                    </w:rPr>
                    <w:t>计量单位</w:t>
                  </w:r>
                </w:p>
              </w:tc>
              <w:tc>
                <w:tcPr>
                  <w:tcW w:type="dxa" w:w="836"/>
                  <w:tcBorders>
                    <w:top w:val="single" w:color="000000" w:sz="4"/>
                    <w:left w:val="single" w:color="000000" w:sz="4"/>
                    <w:bottom w:val="single" w:color="000000" w:sz="4"/>
                    <w:right w:val="single" w:color="000000" w:sz="4"/>
                  </w:tcBorders>
                  <w:vAlign w:val="top"/>
                </w:tcPr>
                <w:p>
                  <w:pPr>
                    <w:jc w:val="center"/>
                  </w:pPr>
                  <w:r>
                    <w:rPr>
                      <w:b/>
                      <w:sz w:val="21"/>
                    </w:rPr>
                    <w:t>工程量</w:t>
                  </w:r>
                </w:p>
              </w:tc>
              <w:tc>
                <w:tcPr>
                  <w:tcW w:type="dxa" w:w="1941"/>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5595"/>
                  <w:gridSpan w:val="5"/>
                  <w:tcBorders>
                    <w:top w:val="none" w:color="000000" w:sz="4"/>
                    <w:left w:val="single" w:color="000000" w:sz="4"/>
                    <w:bottom w:val="single" w:color="000000" w:sz="4"/>
                    <w:right w:val="single" w:color="000000" w:sz="4"/>
                  </w:tcBorders>
                  <w:vAlign w:val="top"/>
                </w:tcPr>
                <w:p>
                  <w:r>
                    <w:rPr>
                      <w:b/>
                      <w:sz w:val="21"/>
                    </w:rPr>
                    <w:t>一、种植基地</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00"/>
                  <w:tcBorders>
                    <w:top w:val="single" w:color="000000" w:sz="4"/>
                    <w:left w:val="single" w:color="000000" w:sz="4"/>
                    <w:bottom w:val="single" w:color="000000" w:sz="4"/>
                    <w:right w:val="single" w:color="000000" w:sz="4"/>
                  </w:tcBorders>
                  <w:vAlign w:val="top"/>
                </w:tcPr>
                <w:p>
                  <w:pPr>
                    <w:jc w:val="center"/>
                  </w:pPr>
                  <w:r>
                    <w:rPr>
                      <w:sz w:val="21"/>
                    </w:rPr>
                    <w:t>水稻种植示范基地建设</w:t>
                  </w:r>
                </w:p>
              </w:tc>
              <w:tc>
                <w:tcPr>
                  <w:tcW w:type="dxa" w:w="751"/>
                  <w:tcBorders>
                    <w:top w:val="single" w:color="000000" w:sz="4"/>
                    <w:left w:val="single" w:color="000000" w:sz="4"/>
                    <w:bottom w:val="single" w:color="000000" w:sz="4"/>
                    <w:right w:val="single" w:color="000000" w:sz="4"/>
                  </w:tcBorders>
                  <w:vAlign w:val="top"/>
                </w:tcPr>
                <w:p>
                  <w:pPr>
                    <w:jc w:val="center"/>
                  </w:pPr>
                  <w:r>
                    <w:rPr>
                      <w:sz w:val="21"/>
                    </w:rPr>
                    <w:t>亩</w:t>
                  </w:r>
                  <w:r>
                    <w:rPr>
                      <w:sz w:val="21"/>
                    </w:rPr>
                    <w:t>/年</w:t>
                  </w:r>
                </w:p>
              </w:tc>
              <w:tc>
                <w:tcPr>
                  <w:tcW w:type="dxa" w:w="836"/>
                  <w:tcBorders>
                    <w:top w:val="single" w:color="000000" w:sz="4"/>
                    <w:left w:val="single" w:color="000000" w:sz="4"/>
                    <w:bottom w:val="single" w:color="000000" w:sz="4"/>
                    <w:right w:val="single" w:color="000000" w:sz="4"/>
                  </w:tcBorders>
                  <w:vAlign w:val="top"/>
                </w:tcPr>
                <w:p>
                  <w:pPr>
                    <w:jc w:val="center"/>
                  </w:pPr>
                  <w:r>
                    <w:rPr>
                      <w:sz w:val="21"/>
                    </w:rPr>
                    <w:t>约</w:t>
                  </w:r>
                  <w:r>
                    <w:rPr>
                      <w:sz w:val="21"/>
                    </w:rPr>
                    <w:t>100.00</w:t>
                  </w:r>
                </w:p>
              </w:tc>
              <w:tc>
                <w:tcPr>
                  <w:tcW w:type="dxa" w:w="1941"/>
                  <w:tcBorders>
                    <w:top w:val="single" w:color="000000" w:sz="4"/>
                    <w:left w:val="single" w:color="000000" w:sz="4"/>
                    <w:bottom w:val="single" w:color="000000" w:sz="4"/>
                    <w:right w:val="single" w:color="000000" w:sz="4"/>
                  </w:tcBorders>
                  <w:vAlign w:val="top"/>
                </w:tcPr>
                <w:p>
                  <w:pPr>
                    <w:jc w:val="center"/>
                  </w:pPr>
                  <w:r>
                    <w:rPr>
                      <w:sz w:val="21"/>
                    </w:rPr>
                    <w:t>根据采购人指定的位置</w:t>
                  </w:r>
                </w:p>
              </w:tc>
            </w:tr>
            <w:tr>
              <w:tc>
                <w:tcPr>
                  <w:tcW w:type="dxa" w:w="5595"/>
                  <w:gridSpan w:val="5"/>
                  <w:tcBorders>
                    <w:top w:val="none" w:color="000000" w:sz="4"/>
                    <w:left w:val="single" w:color="000000" w:sz="4"/>
                    <w:bottom w:val="single" w:color="000000" w:sz="4"/>
                    <w:right w:val="single" w:color="000000" w:sz="4"/>
                  </w:tcBorders>
                  <w:vAlign w:val="top"/>
                </w:tcPr>
                <w:p>
                  <w:r>
                    <w:rPr>
                      <w:b/>
                      <w:sz w:val="21"/>
                    </w:rPr>
                    <w:t>二、撂荒耕地综合整治</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00"/>
                  <w:tcBorders>
                    <w:top w:val="single" w:color="000000" w:sz="4"/>
                    <w:left w:val="single" w:color="000000" w:sz="4"/>
                    <w:bottom w:val="single" w:color="000000" w:sz="4"/>
                    <w:right w:val="single" w:color="000000" w:sz="4"/>
                  </w:tcBorders>
                  <w:vAlign w:val="top"/>
                </w:tcPr>
                <w:p>
                  <w:pPr>
                    <w:jc w:val="center"/>
                  </w:pPr>
                  <w:r>
                    <w:rPr>
                      <w:sz w:val="21"/>
                    </w:rPr>
                    <w:t>土地平整</w:t>
                  </w:r>
                </w:p>
              </w:tc>
              <w:tc>
                <w:tcPr>
                  <w:tcW w:type="dxa" w:w="751"/>
                  <w:tcBorders>
                    <w:top w:val="single" w:color="000000" w:sz="4"/>
                    <w:left w:val="single" w:color="000000" w:sz="4"/>
                    <w:bottom w:val="single" w:color="000000" w:sz="4"/>
                    <w:right w:val="single" w:color="000000" w:sz="4"/>
                  </w:tcBorders>
                  <w:vAlign w:val="top"/>
                </w:tcPr>
                <w:p>
                  <w:pPr>
                    <w:jc w:val="center"/>
                  </w:pPr>
                  <w:r>
                    <w:rPr>
                      <w:sz w:val="21"/>
                    </w:rPr>
                    <w:t>项</w:t>
                  </w:r>
                </w:p>
              </w:tc>
              <w:tc>
                <w:tcPr>
                  <w:tcW w:type="dxa" w:w="836"/>
                  <w:tcBorders>
                    <w:top w:val="single" w:color="000000" w:sz="4"/>
                    <w:left w:val="single" w:color="000000" w:sz="4"/>
                    <w:bottom w:val="single" w:color="000000" w:sz="4"/>
                    <w:right w:val="single" w:color="000000" w:sz="4"/>
                  </w:tcBorders>
                  <w:vAlign w:val="top"/>
                </w:tcPr>
                <w:p>
                  <w:pPr>
                    <w:jc w:val="center"/>
                  </w:pPr>
                  <w:r>
                    <w:rPr>
                      <w:sz w:val="21"/>
                    </w:rPr>
                    <w:t>1.00</w:t>
                  </w:r>
                </w:p>
              </w:tc>
              <w:tc>
                <w:tcPr>
                  <w:tcW w:type="dxa" w:w="1941"/>
                  <w:vMerge w:val="restart"/>
                  <w:tcBorders>
                    <w:top w:val="single" w:color="000000" w:sz="4"/>
                    <w:left w:val="single" w:color="000000" w:sz="4"/>
                    <w:bottom w:val="single" w:color="000000" w:sz="4"/>
                    <w:right w:val="single" w:color="000000" w:sz="4"/>
                  </w:tcBorders>
                  <w:vAlign w:val="top"/>
                </w:tcPr>
                <w:p>
                  <w:pPr>
                    <w:jc w:val="center"/>
                  </w:pPr>
                  <w:r>
                    <w:rPr>
                      <w:sz w:val="21"/>
                    </w:rPr>
                    <w:t>除用于打造种植基地的约</w:t>
                  </w:r>
                  <w:r>
                    <w:rPr>
                      <w:sz w:val="21"/>
                    </w:rPr>
                    <w:t>100亩撂荒耕地外，本项目撂荒耕地综合整治面积不超800亩，耕地位置在服务期内会有适量动态调整，成交供应商须保证满足采购人的要求</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清除杂树杂草</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复耕复种</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亩</w:t>
                  </w:r>
                  <w:r>
                    <w:rPr>
                      <w:sz w:val="21"/>
                    </w:rPr>
                    <w:t>/年</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≤800.00</w:t>
                  </w:r>
                </w:p>
              </w:tc>
            </w:tr>
            <w:tr>
              <w:tc>
                <w:tcPr>
                  <w:tcW w:type="dxa" w:w="5595"/>
                  <w:gridSpan w:val="5"/>
                  <w:tcBorders>
                    <w:top w:val="none" w:color="000000" w:sz="4"/>
                    <w:left w:val="single" w:color="000000" w:sz="4"/>
                    <w:bottom w:val="single" w:color="000000" w:sz="4"/>
                    <w:right w:val="single" w:color="000000" w:sz="4"/>
                  </w:tcBorders>
                  <w:vAlign w:val="top"/>
                </w:tcPr>
                <w:p>
                  <w:r>
                    <w:rPr>
                      <w:b/>
                      <w:sz w:val="21"/>
                    </w:rPr>
                    <w:t>三、简便交通水利设施建设</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00"/>
                  <w:tcBorders>
                    <w:top w:val="single" w:color="000000" w:sz="4"/>
                    <w:left w:val="single" w:color="000000" w:sz="4"/>
                    <w:bottom w:val="single" w:color="000000" w:sz="4"/>
                    <w:right w:val="single" w:color="000000" w:sz="4"/>
                  </w:tcBorders>
                  <w:vAlign w:val="top"/>
                </w:tcPr>
                <w:p>
                  <w:pPr>
                    <w:jc w:val="center"/>
                  </w:pPr>
                  <w:r>
                    <w:rPr>
                      <w:sz w:val="21"/>
                    </w:rPr>
                    <w:t>修建机耕路</w:t>
                  </w:r>
                </w:p>
              </w:tc>
              <w:tc>
                <w:tcPr>
                  <w:tcW w:type="dxa" w:w="751"/>
                  <w:tcBorders>
                    <w:top w:val="single" w:color="000000" w:sz="4"/>
                    <w:left w:val="single" w:color="000000" w:sz="4"/>
                    <w:bottom w:val="single" w:color="000000" w:sz="4"/>
                    <w:right w:val="single" w:color="000000" w:sz="4"/>
                  </w:tcBorders>
                  <w:vAlign w:val="top"/>
                </w:tcPr>
                <w:p>
                  <w:pPr>
                    <w:jc w:val="center"/>
                  </w:pPr>
                  <w:r>
                    <w:rPr>
                      <w:sz w:val="21"/>
                    </w:rPr>
                    <w:t>米</w:t>
                  </w:r>
                </w:p>
              </w:tc>
              <w:tc>
                <w:tcPr>
                  <w:tcW w:type="dxa" w:w="836"/>
                  <w:tcBorders>
                    <w:top w:val="single" w:color="000000" w:sz="4"/>
                    <w:left w:val="single" w:color="000000" w:sz="4"/>
                    <w:bottom w:val="single" w:color="000000" w:sz="4"/>
                    <w:right w:val="single" w:color="000000" w:sz="4"/>
                  </w:tcBorders>
                  <w:vAlign w:val="top"/>
                </w:tcPr>
                <w:p>
                  <w:pPr>
                    <w:jc w:val="center"/>
                  </w:pPr>
                  <w:r>
                    <w:rPr>
                      <w:sz w:val="21"/>
                    </w:rPr>
                    <w:t>253.00</w:t>
                  </w:r>
                </w:p>
              </w:tc>
              <w:tc>
                <w:tcPr>
                  <w:tcW w:type="dxa" w:w="1941"/>
                  <w:vMerge w:val="restart"/>
                  <w:tcBorders>
                    <w:top w:val="single" w:color="000000" w:sz="4"/>
                    <w:left w:val="single" w:color="000000" w:sz="4"/>
                    <w:bottom w:val="single" w:color="000000" w:sz="4"/>
                    <w:right w:val="single" w:color="000000" w:sz="4"/>
                  </w:tcBorders>
                  <w:vAlign w:val="top"/>
                </w:tcPr>
                <w:p>
                  <w:pPr>
                    <w:jc w:val="center"/>
                  </w:pPr>
                  <w:r>
                    <w:rPr>
                      <w:sz w:val="21"/>
                    </w:rPr>
                    <w:t>根据采购人下乡调研摸底的情况确定相应位置，具体数量在服务期内会有适量动态调整</w:t>
                  </w:r>
                  <w:r>
                    <w:rPr>
                      <w:sz w:val="21"/>
                    </w:rPr>
                    <w:t>，成交供应商须保证满足采购人的要求</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修建机耕桥</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5.00</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挡土墙</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修建灌溉渠及排水设施</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米</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140.00</w:t>
                  </w:r>
                </w:p>
              </w:tc>
            </w:tr>
            <w:tr>
              <w:tc>
                <w:tcPr>
                  <w:tcW w:type="dxa" w:w="46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600"/>
                  <w:tcBorders>
                    <w:top w:val="none" w:color="000000" w:sz="4"/>
                    <w:left w:val="single" w:color="000000" w:sz="4"/>
                    <w:bottom w:val="single" w:color="000000" w:sz="4"/>
                    <w:right w:val="single" w:color="000000" w:sz="4"/>
                  </w:tcBorders>
                  <w:vAlign w:val="top"/>
                </w:tcPr>
                <w:p>
                  <w:pPr>
                    <w:jc w:val="center"/>
                  </w:pPr>
                  <w:r>
                    <w:rPr>
                      <w:sz w:val="21"/>
                    </w:rPr>
                    <w:t>其它简便交通水利设施</w:t>
                  </w:r>
                </w:p>
              </w:tc>
              <w:tc>
                <w:tcPr>
                  <w:tcW w:type="dxa" w:w="75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836"/>
                  <w:tcBorders>
                    <w:top w:val="none" w:color="000000" w:sz="4"/>
                    <w:left w:val="single" w:color="000000" w:sz="4"/>
                    <w:bottom w:val="single" w:color="000000" w:sz="4"/>
                    <w:right w:val="single" w:color="000000" w:sz="4"/>
                  </w:tcBorders>
                  <w:vAlign w:val="top"/>
                </w:tcPr>
                <w:p>
                  <w:pPr>
                    <w:jc w:val="center"/>
                  </w:pPr>
                  <w:r>
                    <w:rPr>
                      <w:sz w:val="21"/>
                    </w:rPr>
                    <w:t>1.00</w:t>
                  </w:r>
                </w:p>
              </w:tc>
            </w:tr>
          </w:tbl>
        </w:tc>
      </w:tr>
      <w:tr>
        <w:tc>
          <w:tcPr>
            <w:tcW w:type="dxa" w:w="2076"/>
          </w:tcPr>
          <w:p>
            <w:r>
              <w:rPr/>
              <w:t>★</w:t>
            </w: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内容</w:t>
            </w:r>
          </w:p>
          <w:p>
            <w:r>
              <w:rPr>
                <w:sz w:val="21"/>
              </w:rPr>
              <w:t>2.1种植基地：</w:t>
            </w:r>
          </w:p>
          <w:p>
            <w:r>
              <w:rPr>
                <w:sz w:val="21"/>
              </w:rPr>
              <w:t>2.1.1按照采购人相关要求及指定的位置，选取集中连片的撂荒耕地，打造一个约100亩的水稻种植示范基地，提供五年服务期，并做好相关种植、管护工作。</w:t>
            </w:r>
          </w:p>
          <w:p>
            <w:r>
              <w:rPr>
                <w:sz w:val="21"/>
              </w:rPr>
              <w:t>2.1.2前期做好整治、清杂、修建相关水利设施等工作，使耕地恢复生产耕作条件。</w:t>
            </w:r>
          </w:p>
          <w:p>
            <w:r>
              <w:rPr>
                <w:sz w:val="21"/>
              </w:rPr>
              <w:t>2.1.3完善种植基地相关配套设施，包括但不限于设立标志牌、指示牌、宣传栏、农作物展示区等。</w:t>
            </w:r>
          </w:p>
          <w:p>
            <w:r>
              <w:rPr>
                <w:sz w:val="21"/>
              </w:rPr>
              <w:t>2.1.4保证五年内每年种植一年两造（一年两熟）粮食作物，要求今年开春时完成第一造播种。</w:t>
            </w:r>
          </w:p>
          <w:p>
            <w:r>
              <w:rPr>
                <w:sz w:val="21"/>
              </w:rPr>
              <w:t>2.1.5提供相应的技术推广及培训服务：以种植基地为平台，吸引周边农户、相关农业部门或群体组织前来交流学习，推广先进的种植技术并提供完善的培训服务。</w:t>
            </w:r>
          </w:p>
          <w:p>
            <w:r>
              <w:rPr>
                <w:sz w:val="21"/>
              </w:rPr>
              <w:t>2.2撂荒耕地综合整治：</w:t>
            </w:r>
          </w:p>
          <w:p>
            <w:r>
              <w:rPr>
                <w:sz w:val="21"/>
              </w:rPr>
              <w:t>2.2.1对采购人确定的图斑内撂荒耕地以及全镇村边和村道以上公路、铁路两旁可视范围内具备复耕条件的撂荒耕地（总面积不超800亩）进行复耕复种，并提供三年服务期，保证每年种植一年两造（一年两熟）粮食作物。撂荒耕地位置在服务期内会有适量动态调整，具体位置按照采购人及上级部门的要求执行。</w:t>
            </w:r>
          </w:p>
          <w:p>
            <w:r>
              <w:rPr>
                <w:sz w:val="21"/>
              </w:rPr>
              <w:t>2.2.2结合河头镇的土质属性按照“一田一策，宜粮则粮”的原则，成交供应商自行选择谷物、豆类、薯类为主等符合复耕复种要求的粮食作物进行复耕复种，保证粮食作物的健康生长及熟制要求。当采购人或上级部门对部分粮食作物有种植任务要求时，成交供应商必须满足相关要求。</w:t>
            </w:r>
          </w:p>
          <w:p>
            <w:r>
              <w:rPr>
                <w:sz w:val="21"/>
              </w:rPr>
              <w:t>2.3简便交通水利设施建设：</w:t>
            </w:r>
          </w:p>
          <w:p>
            <w:r>
              <w:rPr>
                <w:sz w:val="21"/>
              </w:rPr>
              <w:t>2.3.1根据采购人相关要求，在2024年7、8月份左右完成所有撂荒耕地（包含种植基地）相关交通水利设施建设工作，使耕地恢复生产耕作条件。</w:t>
            </w:r>
          </w:p>
          <w:p>
            <w:r>
              <w:rPr>
                <w:sz w:val="21"/>
              </w:rPr>
              <w:t>2.3.2交通水利设施建设具体位置：根据采购人下乡调研摸底的情况及村民反映意见来确定。</w:t>
            </w:r>
          </w:p>
          <w:p>
            <w:r>
              <w:rPr>
                <w:sz w:val="21"/>
              </w:rPr>
              <w:t>2.3.3交通水利设施建设的要求：具体修建数量要保证满足通行、种植、灌溉、管护等实施本项目所需的要求。</w:t>
            </w:r>
          </w:p>
          <w:p>
            <w:r>
              <w:rPr>
                <w:sz w:val="21"/>
              </w:rPr>
              <w:t>2.4其他：成交供应商在开展活动过程中必须提供所需的人员、物料、设备、工具、机械及车辆等。</w:t>
            </w:r>
          </w:p>
        </w:tc>
      </w:tr>
      <w:tr>
        <w:tc>
          <w:tcPr>
            <w:tcW w:type="dxa" w:w="2076"/>
          </w:tcPr>
          <w:p>
            <w:r>
              <w:rPr/>
              <w:t>★</w:t>
            </w:r>
          </w:p>
        </w:tc>
        <w:tc>
          <w:tcPr>
            <w:tcW w:type="dxa" w:w="415"/>
          </w:tcPr>
          <w:p>
            <w:r>
              <w:rPr/>
              <w:t>3</w:t>
            </w:r>
          </w:p>
        </w:tc>
        <w:tc>
          <w:tcPr>
            <w:tcW w:type="dxa" w:w="5814"/>
          </w:tcPr>
          <w:p>
            <w:r>
              <w:rPr>
                <w:b/>
                <w:sz w:val="22"/>
              </w:rPr>
              <w:t>（</w:t>
            </w:r>
            <w:r>
              <w:rPr>
                <w:b/>
                <w:sz w:val="22"/>
              </w:rPr>
              <w:t>3）服务要求</w:t>
            </w:r>
          </w:p>
          <w:p>
            <w:r>
              <w:rPr>
                <w:sz w:val="21"/>
              </w:rPr>
              <w:t>3.1由成交供应商组织实施农田整理、种子选择、除草、施肥、灌溉、虫害防治、维护管理等相关工作及承担相关责任，保证粮食作物有较高的成活率。</w:t>
            </w:r>
          </w:p>
          <w:p>
            <w:r>
              <w:rPr>
                <w:sz w:val="21"/>
              </w:rPr>
              <w:t>3.2水稻种植基地以建设成为示范区为目标，成交供应商需无偿为周边农户提供相关技术指导及培训。</w:t>
            </w:r>
          </w:p>
          <w:p>
            <w:r>
              <w:rPr>
                <w:sz w:val="21"/>
              </w:rPr>
              <w:t>3.3种植生产垃圾要做到及时清理，农田内无明显的废弃物，能坚持在重大节日前进行突击清理。</w:t>
            </w:r>
          </w:p>
          <w:p>
            <w:r>
              <w:rPr>
                <w:sz w:val="21"/>
              </w:rPr>
              <w:t>3.4服务期内，如若遇到台风、连续暴雨等不可控因素，成交供应商应安排应急人员作出应急措施保障植物的存活率，以达到预期效果。</w:t>
            </w:r>
          </w:p>
          <w:p>
            <w:r>
              <w:rPr>
                <w:sz w:val="21"/>
              </w:rPr>
              <w:t>3.5成交供应商在耕种过程中如对现有道路造成损坏的，须及时修复。</w:t>
            </w:r>
          </w:p>
          <w:p>
            <w:r>
              <w:rPr>
                <w:sz w:val="21"/>
              </w:rPr>
              <w:t>3.6成交供应商须按采购人要求在现场存在安全隐患的区域做好相关安全防护措施。</w:t>
            </w:r>
          </w:p>
        </w:tc>
      </w:tr>
      <w:tr>
        <w:tc>
          <w:tcPr>
            <w:tcW w:type="dxa" w:w="2076"/>
          </w:tcPr>
          <w:p/>
        </w:tc>
        <w:tc>
          <w:tcPr>
            <w:tcW w:type="dxa" w:w="415"/>
          </w:tcPr>
          <w:p>
            <w:r>
              <w:rPr/>
              <w:t>4</w:t>
            </w:r>
          </w:p>
        </w:tc>
        <w:tc>
          <w:tcPr>
            <w:tcW w:type="dxa" w:w="5814"/>
          </w:tcPr>
          <w:p>
            <w:r>
              <w:rPr>
                <w:b/>
                <w:sz w:val="22"/>
              </w:rPr>
              <w:t>（</w:t>
            </w:r>
            <w:r>
              <w:rPr>
                <w:b/>
                <w:sz w:val="22"/>
              </w:rPr>
              <w:t>4）人员管理要求</w:t>
            </w:r>
          </w:p>
          <w:p>
            <w:r>
              <w:rPr>
                <w:sz w:val="21"/>
              </w:rPr>
              <w:t>4.1为使项目按质、按量、按时及有序实施，成交供应商应提供充足的技术人员投入到本服务项目开展工作。</w:t>
            </w:r>
          </w:p>
          <w:p>
            <w:r>
              <w:rPr>
                <w:sz w:val="21"/>
              </w:rPr>
              <w:t>4.2成交供应商须为本项目配备专门的项目联系人，负责：①对项目内容、工作进度安排、协调进行统筹安排；②对项目成果在技术层面进行整体把握；③及时有效对接采购人，汇报工作内容。</w:t>
            </w:r>
          </w:p>
          <w:p>
            <w:r>
              <w:rPr>
                <w:sz w:val="21"/>
              </w:rPr>
              <w:t>4.3采购人有权以书面形式要求成交供应商更换不能按规定履行合同的人员。即使是采购人要求或同意更换的人员，其代替人员的资质仍应得到采购人的认可，且其资质和经验均不得低于被更换人员。</w:t>
            </w:r>
          </w:p>
          <w:p>
            <w:r>
              <w:rPr>
                <w:sz w:val="21"/>
              </w:rPr>
              <w:t>4.4成交供应商如需招聘复耕复种作业人员，需优先聘请河头镇内本地人员，保障当地就业。</w:t>
            </w:r>
          </w:p>
          <w:p>
            <w:r>
              <w:rPr>
                <w:sz w:val="21"/>
              </w:rPr>
              <w:t>4.5成交供应商须对其雇员的人身安全负全部责任。服务期内，成交供应商的服务人员因执行本项目出现的伤亡，由成交供应商负责处理。</w:t>
            </w:r>
          </w:p>
          <w:p>
            <w:r>
              <w:rPr>
                <w:sz w:val="21"/>
              </w:rPr>
              <w:t>4.6服务期内，成交供应商的服务人员在执行服务中造成他人人身伤亡、财产损失的，由成交供应商负责处理。</w:t>
            </w:r>
          </w:p>
        </w:tc>
      </w:tr>
      <w:tr>
        <w:tc>
          <w:tcPr>
            <w:tcW w:type="dxa" w:w="2076"/>
          </w:tcPr>
          <w:p>
            <w:r>
              <w:rPr/>
              <w:t>★</w:t>
            </w:r>
          </w:p>
        </w:tc>
        <w:tc>
          <w:tcPr>
            <w:tcW w:type="dxa" w:w="415"/>
          </w:tcPr>
          <w:p>
            <w:r>
              <w:rPr/>
              <w:t>5</w:t>
            </w:r>
          </w:p>
        </w:tc>
        <w:tc>
          <w:tcPr>
            <w:tcW w:type="dxa" w:w="5814"/>
          </w:tcPr>
          <w:p>
            <w:r>
              <w:rPr>
                <w:b/>
                <w:sz w:val="22"/>
              </w:rPr>
              <w:t>（</w:t>
            </w:r>
            <w:r>
              <w:rPr>
                <w:b/>
                <w:sz w:val="22"/>
              </w:rPr>
              <w:t>5）成果归属及项目收益</w:t>
            </w:r>
          </w:p>
          <w:p>
            <w:r>
              <w:rPr>
                <w:sz w:val="21"/>
              </w:rPr>
              <w:t>5.1种植基地收益要求：①土地租金：根据土地权属，成交供应商按照市场价支付给种植基地所在的村集体土地租金，具体租赁细节由其双方另签订租赁合同自行协商；②乡村振兴民生实事发展资金：为办好民生实事，成交供应商每年支付给种植基地所对应的行政村人民币2万元作为乡村振兴民生实事发展资金；③村集体投资收益：为更好地提高民众参与感，大力推进基地种植工作，成交供应商接受河头镇村集体对种植基地的投资，并获得年化不低于6.5%的收益，在每年8月31日前支付当年收益，其他投资细节由其双方另行约定。</w:t>
            </w:r>
          </w:p>
          <w:p>
            <w:r>
              <w:rPr>
                <w:sz w:val="21"/>
              </w:rPr>
              <w:t>5.2所有撂荒耕地（含种植基地）服务期内的粮食作物收成归成交供应商所有。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新兴县河头镇人民政府（本级）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河头镇撂荒耕地综合整治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采购包1（新兴县河头镇撂荒耕地综合整治项目）：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采购包1（新兴县河头镇撂荒耕地综合整治项目）：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合同包1(新兴县河头镇撂荒耕地综合整治项目)特定资格要求如下</w:t>
            </w:r>
          </w:p>
        </w:tc>
        <w:tc>
          <w:tcPr>
            <w:tcW w:type="dxa" w:w="4238"/>
          </w:tcPr>
          <w:p>
            <w:r>
              <w:rPr/>
              <w:t>（1）供应商须具备法律、行政法规规定的其他条件：在响应文件中提供声明函。 （2）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（3）本项目不接受联合体参加投标，不允许转包和分包。 （4）本项目为一个整体，供应商须对全部内容进行投标，不得分拆。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采购包1（新兴县河头镇撂荒耕地综合整治项目）：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采购包1(新兴县河头镇撂荒耕地综合整治项目):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项目整体服务方案 (17.0分)</w:t>
            </w:r>
            <w:r>
              <w:rPr/>
              <w:t>，（等次分值选择：</w:t>
            </w:r>
            <w:r>
              <w:rPr/>
              <w:t>0.0;</w:t>
            </w:r>
            <w:r>
              <w:rPr/>
              <w:t>4.0;</w:t>
            </w:r>
            <w:r>
              <w:rPr/>
              <w:t>8.0;</w:t>
            </w:r>
            <w:r>
              <w:rPr/>
              <w:t>12.0;</w:t>
            </w:r>
            <w:r>
              <w:rPr/>
              <w:t>17.0;</w:t>
            </w:r>
            <w:r>
              <w:rPr/>
              <w:t>）</w:t>
            </w:r>
          </w:p>
        </w:tc>
        <w:tc>
          <w:tcPr>
            <w:tcW w:type="dxa" w:w="5076"/>
          </w:tcPr>
          <w:p>
            <w:pPr>
              <w:jc w:val="left"/>
            </w:pPr>
            <w:r>
              <w:rPr/>
              <w:t>由磋商小组根据供应商提供的项目整体服务方案（内容包括但不限于总体工作方案、种植基地建设方案、撂荒耕地综合整治方案、简便交通水利设施建设方案、管护方案及各项管理措施等）进行评审： （1）总体工作方案设计科学合理，各分项实施方案严密、可行性和操作性强，各项管理措施完善，得17分； （2）总体工作方案设计较科学合理，各分项实施方案较严密、可行性和操作性较强，各项管理措施较完善，得12分； （3）总体工作方案设计具有一定的科学合理性，各分项实施方案基本严密、可行性和操作性一般，各项管理措施基本完善，得8分； （4）总体工作方案设计欠缺合理性，各分项实施方案不够严谨、可行性和操作性较差，各项管理措施较简陋，得4分； （5）无提供方案的不得分。</w:t>
            </w:r>
          </w:p>
        </w:tc>
      </w:tr>
      <w:tr>
        <w:tc>
          <w:tcPr>
            <w:tcW w:type="dxa" w:w="922"/>
            <w:gridSpan w:val="2"/>
            <w:vMerge/>
          </w:tcPr>
          <w:p/>
        </w:tc>
        <w:tc>
          <w:tcPr>
            <w:tcW w:type="dxa" w:w="2307"/>
          </w:tcPr>
          <w:p>
            <w:pPr>
              <w:jc w:val="left"/>
            </w:pPr>
            <w:r>
              <w:rPr/>
              <w:t>项目实施进度安排及进度保障措施 (10.0分)</w:t>
            </w:r>
            <w:r>
              <w:rPr/>
              <w:t>，（等次分值选择：</w:t>
            </w:r>
            <w:r>
              <w:rPr/>
              <w:t>0.0;</w:t>
            </w:r>
            <w:r>
              <w:rPr/>
              <w:t>2.0;</w:t>
            </w:r>
            <w:r>
              <w:rPr/>
              <w:t>5.0;</w:t>
            </w:r>
            <w:r>
              <w:rPr/>
              <w:t>8.0;</w:t>
            </w:r>
            <w:r>
              <w:rPr/>
              <w:t>10.0;</w:t>
            </w:r>
            <w:r>
              <w:rPr/>
              <w:t>）</w:t>
            </w:r>
          </w:p>
        </w:tc>
        <w:tc>
          <w:tcPr>
            <w:tcW w:type="dxa" w:w="5076"/>
          </w:tcPr>
          <w:p>
            <w:pPr>
              <w:jc w:val="left"/>
            </w:pPr>
            <w:r>
              <w:rPr/>
              <w:t>由磋商小组根据供应商提供的项目实施进度安排及进度保障措施进行评审： （1）项目实施进度安排科学合理、可行性高、针对性强，对粮食作物种植和交通水利设施建设的时间有具体合理的计划，进度保障措施周全、可靠，得10分； （2）项目实施进度安排较合理、可行性较高、针对性较强，对粮食作物种植和交通水利设施建设的时间有较具体合理的计划，进度保障措施较周全、较可靠，得8分； （3）项目实施进度安排的合理性、可行性、针对性一般，对粮食作物种植和交通水利设施建设的时间有简单的计划，有一定的进度保障措施，得5分； （4）项目实施进度安排不合理、可行性和针对性较差，对粮食作物种植和交通水利设施建设的时间只有笼统的计划，进度保障措施不明确，得2分； （5）无提供方案的不得分。</w:t>
            </w:r>
          </w:p>
        </w:tc>
      </w:tr>
      <w:tr>
        <w:tc>
          <w:tcPr>
            <w:tcW w:type="dxa" w:w="922"/>
            <w:gridSpan w:val="2"/>
            <w:vMerge/>
          </w:tcPr>
          <w:p/>
        </w:tc>
        <w:tc>
          <w:tcPr>
            <w:tcW w:type="dxa" w:w="2307"/>
          </w:tcPr>
          <w:p>
            <w:pPr>
              <w:jc w:val="left"/>
            </w:pPr>
            <w:r>
              <w:rPr/>
              <w:t>项目质量保障措施 (10.0分)</w:t>
            </w:r>
            <w:r>
              <w:rPr/>
              <w:t>，（等次分值选择：</w:t>
            </w:r>
            <w:r>
              <w:rPr/>
              <w:t>0.0;</w:t>
            </w:r>
            <w:r>
              <w:rPr/>
              <w:t>2.0;</w:t>
            </w:r>
            <w:r>
              <w:rPr/>
              <w:t>5.0;</w:t>
            </w:r>
            <w:r>
              <w:rPr/>
              <w:t>8.0;</w:t>
            </w:r>
            <w:r>
              <w:rPr/>
              <w:t>10.0;</w:t>
            </w:r>
            <w:r>
              <w:rPr/>
              <w:t>）</w:t>
            </w:r>
          </w:p>
        </w:tc>
        <w:tc>
          <w:tcPr>
            <w:tcW w:type="dxa" w:w="5076"/>
          </w:tcPr>
          <w:p>
            <w:pPr>
              <w:jc w:val="left"/>
            </w:pPr>
            <w:r>
              <w:rPr/>
              <w:t>由磋商小组根据供应商提供的项目质量保障措施（内容包括但不限于项目质量控制措施、工作或质量缺陷补救机制、档案管理制度等）进行评审： （1）项目质量控制措施科学合理，工作或质量缺陷补救机制健全、可行性强，档案管理制度完善，得10分； （2）项目质量控制措施较科学合理，工作或质量缺陷补救机制较健全、可行性较强，档案管理制度较完善，得8分； （3）项目质量控制措施的科学合理性一般，工作或质量缺陷补救机制有一定的可行性，档案管理制度基本完善，得5分； （4）项目质量控制措施欠缺科学合理性，工作或质量缺陷补救机制可行性较差，档案管理制度不完善，得2分； （5）无提供方案的不得分。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2.0;</w:t>
            </w:r>
            <w:r>
              <w:rPr/>
              <w:t>5.0;</w:t>
            </w:r>
            <w:r>
              <w:rPr/>
              <w:t>8.0;</w:t>
            </w:r>
            <w:r>
              <w:rPr/>
              <w:t>10.0;</w:t>
            </w:r>
            <w:r>
              <w:rPr/>
              <w:t>）</w:t>
            </w:r>
          </w:p>
        </w:tc>
        <w:tc>
          <w:tcPr>
            <w:tcW w:type="dxa" w:w="5076"/>
          </w:tcPr>
          <w:p>
            <w:pPr>
              <w:jc w:val="left"/>
            </w:pPr>
            <w:r>
              <w:rPr/>
              <w:t>由磋商小组根据供应商提供的安全生产、文明施工与环境保护措施进行评审： （1）安全生产、文明施工与环境保护措施周全、合理、可靠，现场作业流程规范，机械安全操作等各类管理制度完善，对项目实施现场的残余清运工作有具体的工作方案，得10分； （2）安全生产、文明施工与环境保护措施较合理、有一定可行性，现场作业流程相对规范，机械安全操作等各类管理制度较完善，对项目实施现场的残余清运工作有较具体的工作方案，得8分； （3）安全生产、文明施工与环境保护措施基本合理、可行性一般，现场作业流程基本规范，机械安全操作等各方面有相关管理制度，对项目实施现场的残余清运工作有出具相关方案，得5分； （4）安全生产、文明施工与环境保护措施不明确，现场作业流程无序，管理制度不完善，对项目实施现场的残余清运工作无具体的工作方案，得2分； （5）无提供方案的不得分。</w:t>
            </w:r>
          </w:p>
        </w:tc>
      </w:tr>
      <w:tr>
        <w:tc>
          <w:tcPr>
            <w:tcW w:type="dxa" w:w="922"/>
            <w:gridSpan w:val="2"/>
            <w:vMerge/>
          </w:tcPr>
          <w:p/>
        </w:tc>
        <w:tc>
          <w:tcPr>
            <w:tcW w:type="dxa" w:w="2307"/>
          </w:tcPr>
          <w:p>
            <w:pPr>
              <w:jc w:val="left"/>
            </w:pPr>
            <w:r>
              <w:rPr/>
              <w:t>项目应急方案 (10.0分)</w:t>
            </w:r>
            <w:r>
              <w:rPr/>
              <w:t>，（等次分值选择：</w:t>
            </w:r>
            <w:r>
              <w:rPr/>
              <w:t>0.0;</w:t>
            </w:r>
            <w:r>
              <w:rPr/>
              <w:t>2.0;</w:t>
            </w:r>
            <w:r>
              <w:rPr/>
              <w:t>5.0;</w:t>
            </w:r>
            <w:r>
              <w:rPr/>
              <w:t>8.0;</w:t>
            </w:r>
            <w:r>
              <w:rPr/>
              <w:t>10.0;</w:t>
            </w:r>
            <w:r>
              <w:rPr/>
              <w:t>）</w:t>
            </w:r>
          </w:p>
        </w:tc>
        <w:tc>
          <w:tcPr>
            <w:tcW w:type="dxa" w:w="5076"/>
          </w:tcPr>
          <w:p>
            <w:pPr>
              <w:jc w:val="left"/>
            </w:pPr>
            <w:r>
              <w:rPr/>
              <w:t>由磋商小组根据供应商提供的项目应急方案（内容包括但不限于重大迎检活动、紧急任务、极端天气（包括特大台风、暴雨等天气影响）等的风险分析及对应防范措施）进行评审： （1）对各类紧急、突发事件的考虑周全，风险分析全面、深入，对应防范措施的操作性强，相关部门和人员职责明确，并能够有效协调联动和相互配合的，得10分； （2）对各类紧急、突发事件的考虑较周全，风险分析较全面、较深入，对应防范措施的操作性较强，相关部门和人员职责较明确，能较好地协调联动和相互配合的，得8分； （3）对各类紧急、突发事件有一定的考虑，风险分析比较表面，对应防范措施的操作性一般，相关部门和人员职责基本明确，基本能实现协调联动和相互配合的，得5分； （4）对各类紧急、突发事件考虑不周全，风险分析浅薄，对应防范措施欠缺操作性，相关部门和人员分工不明确，权责相分离，不能够协调联动和相互配合的，得2分； （5）无提供方案的不得分。</w:t>
            </w:r>
          </w:p>
        </w:tc>
      </w:tr>
      <w:tr>
        <w:tc>
          <w:tcPr>
            <w:tcW w:type="dxa" w:w="922"/>
            <w:gridSpan w:val="2"/>
            <w:vMerge w:val="restart"/>
          </w:tcPr>
          <w:p>
            <w:pPr>
              <w:jc w:val="center"/>
            </w:pPr>
            <w:r>
              <w:rPr/>
              <w:t>商务部分</w:t>
            </w:r>
          </w:p>
        </w:tc>
        <w:tc>
          <w:tcPr>
            <w:tcW w:type="dxa" w:w="2307"/>
          </w:tcPr>
          <w:p>
            <w:pPr>
              <w:jc w:val="left"/>
            </w:pPr>
            <w:r>
              <w:rPr/>
              <w:t>同类项目业绩 (15.0分)</w:t>
            </w:r>
            <w:r>
              <w:rPr/>
              <w:t>，（等次分值选择：</w:t>
            </w:r>
            <w:r>
              <w:rPr/>
              <w:t>0.0;</w:t>
            </w:r>
            <w:r>
              <w:rPr/>
              <w:t>3.0;</w:t>
            </w:r>
            <w:r>
              <w:rPr/>
              <w:t>6.0;</w:t>
            </w:r>
            <w:r>
              <w:rPr/>
              <w:t>9.0;</w:t>
            </w:r>
            <w:r>
              <w:rPr/>
              <w:t>12.0;</w:t>
            </w:r>
            <w:r>
              <w:rPr/>
              <w:t>15.0;</w:t>
            </w:r>
            <w:r>
              <w:rPr/>
              <w:t>）</w:t>
            </w:r>
          </w:p>
        </w:tc>
        <w:tc>
          <w:tcPr>
            <w:tcW w:type="dxa" w:w="5076"/>
          </w:tcPr>
          <w:p>
            <w:pPr>
              <w:jc w:val="left"/>
            </w:pPr>
            <w:r>
              <w:rPr/>
              <w:t>供应商自2021年以来（以合同签订时间为准）承接过撂荒耕地整治类项目业绩的：每提供1个得3分，本项最高得15分。 【备注：响应文件中须提供合同关键页复印件，不提供不得分。】</w:t>
            </w:r>
          </w:p>
        </w:tc>
      </w:tr>
      <w:tr>
        <w:tc>
          <w:tcPr>
            <w:tcW w:type="dxa" w:w="922"/>
            <w:gridSpan w:val="2"/>
            <w:vMerge/>
          </w:tcPr>
          <w:p/>
        </w:tc>
        <w:tc>
          <w:tcPr>
            <w:tcW w:type="dxa" w:w="2307"/>
          </w:tcPr>
          <w:p>
            <w:pPr>
              <w:jc w:val="left"/>
            </w:pPr>
            <w:r>
              <w:rPr/>
              <w:t>拟投入本项目的农用装备 (5.0分)</w:t>
            </w:r>
            <w:r>
              <w:rPr/>
              <w:t>，（等次分值选择：</w:t>
            </w:r>
            <w:r>
              <w:rPr/>
              <w:t>0.0;</w:t>
            </w:r>
            <w:r>
              <w:rPr/>
              <w:t>1.0;</w:t>
            </w:r>
            <w:r>
              <w:rPr/>
              <w:t>3.0;</w:t>
            </w:r>
            <w:r>
              <w:rPr/>
              <w:t>5.0;</w:t>
            </w:r>
            <w:r>
              <w:rPr/>
              <w:t>）</w:t>
            </w:r>
          </w:p>
        </w:tc>
        <w:tc>
          <w:tcPr>
            <w:tcW w:type="dxa" w:w="5076"/>
          </w:tcPr>
          <w:p>
            <w:pPr>
              <w:jc w:val="left"/>
            </w:pPr>
            <w:r>
              <w:rPr/>
              <w:t>对供应商拟投入本项目的农用装备（包括但不限于推土机、耙田机、挖掘机、自卸车等）进行评审： （1）农用装备配置齐全、充足，并能增加投入除上述罗列装备外的其它农用装备的，得5分； （2）农用装备配置基本齐全（包含上述罗列装备）、基本充足，得3分； （3）农用装备配置不齐全、欠充足，得1分。 【备注：（1）如农用装备为供应商自有的，响应文件中须提供有销售方盖章的购置发票复印件（发票中的购买方须为供应商），不提供不得分；（2）如农用装备为供应商租赁的，响应文件中须提供有效的以供应商名义签订的租赁合同复印件，不提供不得分。】</w:t>
            </w:r>
          </w:p>
        </w:tc>
      </w:tr>
      <w:tr>
        <w:tc>
          <w:tcPr>
            <w:tcW w:type="dxa" w:w="922"/>
            <w:gridSpan w:val="2"/>
            <w:vMerge/>
          </w:tcPr>
          <w:p/>
        </w:tc>
        <w:tc>
          <w:tcPr>
            <w:tcW w:type="dxa" w:w="2307"/>
          </w:tcPr>
          <w:p>
            <w:pPr>
              <w:jc w:val="left"/>
            </w:pPr>
            <w:r>
              <w:rPr/>
              <w:t>拟投入本项目的人员 (5.0分)</w:t>
            </w:r>
            <w:r>
              <w:rPr/>
              <w:t>，（等次分值选择：</w:t>
            </w:r>
            <w:r>
              <w:rPr/>
              <w:t>0.0;</w:t>
            </w:r>
            <w:r>
              <w:rPr/>
              <w:t>1.0;</w:t>
            </w:r>
            <w:r>
              <w:rPr/>
              <w:t>3.0;</w:t>
            </w:r>
            <w:r>
              <w:rPr/>
              <w:t>5.0;</w:t>
            </w:r>
            <w:r>
              <w:rPr/>
              <w:t>）</w:t>
            </w:r>
          </w:p>
        </w:tc>
        <w:tc>
          <w:tcPr>
            <w:tcW w:type="dxa" w:w="5076"/>
          </w:tcPr>
          <w:p>
            <w:pPr>
              <w:jc w:val="left"/>
            </w:pPr>
            <w:r>
              <w:rPr/>
              <w:t>对供应商拟投入本项目的人员及组织架构进行评审： （1）人员充足，组织架构合理，分工科学，岗位职责明确，得5分； （2）人员基本充足，组织架构基本合理，分工较科学，权责较明确，得3分； （3）人员欠充足，组织架构不合理，分工及权责不明确，得1分。 【备注：响应文件中须提供人员相关证件复印件及组织架构说明，不提供不得分。】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（1）距离≤30公里的，得5分； （2）30公里＜距离≤90公里的，得3分； （3）90公里＜距离≤150公里的，得1分； （4）距离＞150公里的，不得分。 【备注：以供应商服务机构营业执照地址到新兴县河头镇人民政府的距离为准，响应文件中须同时提供服务机构营业执照复印件和百度地图距离查询截图，不提供不得分。】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b/>
          <w:sz w:val="28"/>
        </w:rPr>
        <w:t>项目名称：</w:t>
      </w:r>
      <w:r>
        <w:rPr>
          <w:b/>
          <w:sz w:val="28"/>
          <w:u w:val="single"/>
        </w:rPr>
        <w:t>新兴县河头镇撂荒耕地综合整治项目</w:t>
      </w:r>
    </w:p>
    <w:p>
      <w:pPr>
        <w:ind w:firstLine="281"/>
      </w:pPr>
      <w:r>
        <w:rPr>
          <w:b/>
          <w:sz w:val="28"/>
        </w:rPr>
        <w:t>合同编号：</w:t>
      </w:r>
      <w:r>
        <w:rPr>
          <w:b/>
          <w:sz w:val="21"/>
          <w:u w:val="single"/>
        </w:rPr>
        <w:t xml:space="preserve">                                </w:t>
      </w:r>
    </w:p>
    <w:p>
      <w:pPr>
        <w:ind w:firstLine="281"/>
      </w:pPr>
      <w:r>
        <w:rPr>
          <w:b/>
          <w:sz w:val="28"/>
        </w:rPr>
        <w:t>签约地点：</w:t>
      </w:r>
      <w:r>
        <w:rPr>
          <w:b/>
          <w:sz w:val="28"/>
          <w:u w:val="single"/>
        </w:rPr>
        <w:t xml:space="preserve">      </w:t>
      </w:r>
      <w:r>
        <w:rPr>
          <w:b/>
          <w:sz w:val="28"/>
          <w:u w:val="single"/>
        </w:rPr>
        <w:t>新兴县河头镇人民政府</w:t>
      </w:r>
      <w:r>
        <w:rPr>
          <w:b/>
          <w:sz w:val="28"/>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u w:val="single"/>
        </w:rPr>
        <w:t>新兴县河头镇撂荒耕地综合整治项目</w:t>
      </w:r>
      <w:r>
        <w:rPr>
          <w:sz w:val="21"/>
        </w:rPr>
        <w:t>（采购项目编号：</w:t>
      </w:r>
      <w:r>
        <w:rPr>
          <w:sz w:val="21"/>
          <w:u w:val="single"/>
        </w:rPr>
        <w:t xml:space="preserve"> </w:t>
      </w:r>
      <w:r>
        <w:rPr>
          <w:sz w:val="21"/>
          <w:u w:val="single"/>
        </w:rPr>
        <w:t>YFZC24FC0006</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r>
        <w:rPr>
          <w:b/>
          <w:sz w:val="21"/>
        </w:rPr>
        <w:t>一、</w:t>
      </w:r>
      <w:r>
        <w:rPr>
          <w:b/>
          <w:sz w:val="21"/>
        </w:rPr>
        <w:t>合同金额</w:t>
      </w:r>
    </w:p>
    <w:p>
      <w:pPr>
        <w:ind w:firstLine="420"/>
      </w:pPr>
      <w:r>
        <w:rPr>
          <w:sz w:val="21"/>
        </w:rPr>
        <w:t>合同金额为人民币：</w:t>
      </w:r>
      <w:r>
        <w:rPr>
          <w:sz w:val="21"/>
          <w:u w:val="single"/>
        </w:rPr>
        <w:t xml:space="preserve">                      </w:t>
      </w:r>
      <w:r>
        <w:rPr>
          <w:sz w:val="21"/>
        </w:rPr>
        <w:t>（</w:t>
      </w:r>
      <w:r>
        <w:rPr>
          <w:sz w:val="21"/>
        </w:rPr>
        <w:t>¥</w:t>
      </w:r>
      <w:r>
        <w:rPr>
          <w:sz w:val="21"/>
          <w:u w:val="single"/>
        </w:rPr>
        <w:t xml:space="preserve">            </w:t>
      </w:r>
      <w:r>
        <w:rPr>
          <w:sz w:val="21"/>
        </w:rPr>
        <w:t>）。</w:t>
      </w:r>
    </w:p>
    <w:p>
      <w:pPr>
        <w:jc w:val="both"/>
      </w:pPr>
      <w:r>
        <w:rPr>
          <w:b/>
          <w:sz w:val="21"/>
        </w:rPr>
        <w:t>二、项目需求清单</w:t>
      </w:r>
    </w:p>
    <w:tbl>
      <w:tblPr>
        <w:tblW w:w="0" w:type="auto"/>
        <w:tblBorders>
          <w:top w:val="none" w:color="000000" w:sz="4"/>
          <w:left w:val="none" w:color="000000" w:sz="4"/>
          <w:bottom w:val="none" w:color="000000" w:sz="4"/>
          <w:right w:val="none" w:color="000000" w:sz="4"/>
          <w:insideH w:val="none"/>
          <w:insideV w:val="none"/>
        </w:tblBorders>
      </w:tblPr>
      <w:tblGrid>
        <w:gridCol w:w="605"/>
        <w:gridCol w:w="2156"/>
        <w:gridCol w:w="1015"/>
        <w:gridCol w:w="1013"/>
        <w:gridCol w:w="3514"/>
      </w:tblGrid>
      <w:tr>
        <w:tc>
          <w:tcPr>
            <w:tcW w:type="dxa" w:w="60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156"/>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1015"/>
            <w:tcBorders>
              <w:top w:val="single" w:color="000000" w:sz="4"/>
              <w:left w:val="single" w:color="000000" w:sz="4"/>
              <w:bottom w:val="single" w:color="000000" w:sz="4"/>
              <w:right w:val="single" w:color="000000" w:sz="4"/>
            </w:tcBorders>
            <w:vAlign w:val="top"/>
          </w:tcPr>
          <w:p>
            <w:pPr>
              <w:jc w:val="center"/>
            </w:pPr>
            <w:r>
              <w:rPr>
                <w:b/>
                <w:sz w:val="21"/>
              </w:rPr>
              <w:t>计量单位</w:t>
            </w:r>
          </w:p>
        </w:tc>
        <w:tc>
          <w:tcPr>
            <w:tcW w:type="dxa" w:w="1013"/>
            <w:tcBorders>
              <w:top w:val="single" w:color="000000" w:sz="4"/>
              <w:left w:val="single" w:color="000000" w:sz="4"/>
              <w:bottom w:val="single" w:color="000000" w:sz="4"/>
              <w:right w:val="single" w:color="000000" w:sz="4"/>
            </w:tcBorders>
            <w:vAlign w:val="top"/>
          </w:tcPr>
          <w:p>
            <w:pPr>
              <w:jc w:val="center"/>
            </w:pPr>
            <w:r>
              <w:rPr>
                <w:b/>
                <w:sz w:val="21"/>
              </w:rPr>
              <w:t>工程量</w:t>
            </w:r>
          </w:p>
        </w:tc>
        <w:tc>
          <w:tcPr>
            <w:tcW w:type="dxa" w:w="3514"/>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8303"/>
            <w:gridSpan w:val="5"/>
            <w:tcBorders>
              <w:top w:val="none" w:color="000000" w:sz="4"/>
              <w:left w:val="single" w:color="000000" w:sz="4"/>
              <w:bottom w:val="single" w:color="000000" w:sz="4"/>
              <w:right w:val="single" w:color="000000" w:sz="4"/>
            </w:tcBorders>
            <w:vAlign w:val="top"/>
          </w:tcPr>
          <w:p>
            <w:r>
              <w:rPr>
                <w:b/>
                <w:sz w:val="21"/>
              </w:rPr>
              <w:t>（一）种植基地</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156"/>
            <w:tcBorders>
              <w:top w:val="single" w:color="000000" w:sz="4"/>
              <w:left w:val="single" w:color="000000" w:sz="4"/>
              <w:bottom w:val="single" w:color="000000" w:sz="4"/>
              <w:right w:val="single" w:color="000000" w:sz="4"/>
            </w:tcBorders>
            <w:vAlign w:val="top"/>
          </w:tcPr>
          <w:p>
            <w:pPr>
              <w:jc w:val="center"/>
            </w:pPr>
            <w:r>
              <w:rPr>
                <w:sz w:val="21"/>
              </w:rPr>
              <w:t>水稻种植示范基地建设</w:t>
            </w:r>
          </w:p>
        </w:tc>
        <w:tc>
          <w:tcPr>
            <w:tcW w:type="dxa" w:w="1015"/>
            <w:tcBorders>
              <w:top w:val="single" w:color="000000" w:sz="4"/>
              <w:left w:val="single" w:color="000000" w:sz="4"/>
              <w:bottom w:val="single" w:color="000000" w:sz="4"/>
              <w:right w:val="single" w:color="000000" w:sz="4"/>
            </w:tcBorders>
            <w:vAlign w:val="top"/>
          </w:tcPr>
          <w:p>
            <w:pPr>
              <w:jc w:val="center"/>
            </w:pPr>
            <w:r>
              <w:rPr>
                <w:sz w:val="21"/>
              </w:rPr>
              <w:t>亩</w:t>
            </w:r>
            <w:r>
              <w:rPr>
                <w:sz w:val="21"/>
              </w:rPr>
              <w:t>/年</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约</w:t>
            </w:r>
            <w:r>
              <w:rPr>
                <w:sz w:val="21"/>
              </w:rPr>
              <w:t>100.00</w:t>
            </w:r>
          </w:p>
        </w:tc>
        <w:tc>
          <w:tcPr>
            <w:tcW w:type="dxa" w:w="3514"/>
            <w:tcBorders>
              <w:top w:val="single" w:color="000000" w:sz="4"/>
              <w:left w:val="single" w:color="000000" w:sz="4"/>
              <w:bottom w:val="single" w:color="000000" w:sz="4"/>
              <w:right w:val="single" w:color="000000" w:sz="4"/>
            </w:tcBorders>
            <w:vAlign w:val="top"/>
          </w:tcPr>
          <w:p>
            <w:pPr>
              <w:jc w:val="center"/>
            </w:pPr>
            <w:r>
              <w:rPr>
                <w:sz w:val="21"/>
              </w:rPr>
              <w:t>根据甲方指定的位置</w:t>
            </w:r>
          </w:p>
        </w:tc>
      </w:tr>
      <w:tr>
        <w:tc>
          <w:tcPr>
            <w:tcW w:type="dxa" w:w="8303"/>
            <w:gridSpan w:val="5"/>
            <w:tcBorders>
              <w:top w:val="none" w:color="000000" w:sz="4"/>
              <w:left w:val="single" w:color="000000" w:sz="4"/>
              <w:bottom w:val="single" w:color="000000" w:sz="4"/>
              <w:right w:val="single" w:color="000000" w:sz="4"/>
            </w:tcBorders>
            <w:vAlign w:val="top"/>
          </w:tcPr>
          <w:p>
            <w:r>
              <w:rPr>
                <w:b/>
                <w:sz w:val="21"/>
              </w:rPr>
              <w:t>（二）撂荒耕地综合整治</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156"/>
            <w:tcBorders>
              <w:top w:val="single" w:color="000000" w:sz="4"/>
              <w:left w:val="single" w:color="000000" w:sz="4"/>
              <w:bottom w:val="single" w:color="000000" w:sz="4"/>
              <w:right w:val="single" w:color="000000" w:sz="4"/>
            </w:tcBorders>
            <w:vAlign w:val="top"/>
          </w:tcPr>
          <w:p>
            <w:pPr>
              <w:jc w:val="center"/>
            </w:pPr>
            <w:r>
              <w:rPr>
                <w:sz w:val="21"/>
              </w:rPr>
              <w:t>土地平整</w:t>
            </w:r>
          </w:p>
        </w:tc>
        <w:tc>
          <w:tcPr>
            <w:tcW w:type="dxa" w:w="1015"/>
            <w:tcBorders>
              <w:top w:val="single" w:color="000000" w:sz="4"/>
              <w:left w:val="single" w:color="000000" w:sz="4"/>
              <w:bottom w:val="single" w:color="000000" w:sz="4"/>
              <w:right w:val="single" w:color="000000" w:sz="4"/>
            </w:tcBorders>
            <w:vAlign w:val="top"/>
          </w:tcPr>
          <w:p>
            <w:pPr>
              <w:jc w:val="center"/>
            </w:pPr>
            <w:r>
              <w:rPr>
                <w:sz w:val="21"/>
              </w:rPr>
              <w:t>项</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1.00</w:t>
            </w:r>
          </w:p>
        </w:tc>
        <w:tc>
          <w:tcPr>
            <w:tcW w:type="dxa" w:w="3514"/>
            <w:vMerge w:val="restart"/>
            <w:tcBorders>
              <w:top w:val="single" w:color="000000" w:sz="4"/>
              <w:left w:val="single" w:color="000000" w:sz="4"/>
              <w:bottom w:val="single" w:color="000000" w:sz="4"/>
              <w:right w:val="single" w:color="000000" w:sz="4"/>
            </w:tcBorders>
            <w:vAlign w:val="top"/>
          </w:tcPr>
          <w:p>
            <w:pPr>
              <w:jc w:val="center"/>
            </w:pPr>
            <w:r>
              <w:rPr>
                <w:sz w:val="21"/>
              </w:rPr>
              <w:t>除用于打造种植基地的约</w:t>
            </w:r>
            <w:r>
              <w:rPr>
                <w:sz w:val="21"/>
              </w:rPr>
              <w:t>100亩撂荒耕地外，本项目撂荒耕地综合整治面积不超800亩，耕地位置在服务期内会有适量动态调整，乙方须保证满足甲方的要求</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清除杂树杂草</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复耕复种</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亩</w:t>
            </w:r>
            <w:r>
              <w:rPr>
                <w:sz w:val="21"/>
              </w:rPr>
              <w:t>/年</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≤800.00</w:t>
            </w:r>
          </w:p>
        </w:tc>
      </w:tr>
      <w:tr>
        <w:tc>
          <w:tcPr>
            <w:tcW w:type="dxa" w:w="8303"/>
            <w:gridSpan w:val="5"/>
            <w:tcBorders>
              <w:top w:val="none" w:color="000000" w:sz="4"/>
              <w:left w:val="single" w:color="000000" w:sz="4"/>
              <w:bottom w:val="single" w:color="000000" w:sz="4"/>
              <w:right w:val="single" w:color="000000" w:sz="4"/>
            </w:tcBorders>
            <w:vAlign w:val="top"/>
          </w:tcPr>
          <w:p>
            <w:r>
              <w:rPr>
                <w:b/>
                <w:sz w:val="21"/>
              </w:rPr>
              <w:t>（三）简便交通水利设施建设</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156"/>
            <w:tcBorders>
              <w:top w:val="single" w:color="000000" w:sz="4"/>
              <w:left w:val="single" w:color="000000" w:sz="4"/>
              <w:bottom w:val="single" w:color="000000" w:sz="4"/>
              <w:right w:val="single" w:color="000000" w:sz="4"/>
            </w:tcBorders>
            <w:vAlign w:val="top"/>
          </w:tcPr>
          <w:p>
            <w:pPr>
              <w:jc w:val="center"/>
            </w:pPr>
            <w:r>
              <w:rPr>
                <w:sz w:val="21"/>
              </w:rPr>
              <w:t>修建机耕路</w:t>
            </w:r>
          </w:p>
        </w:tc>
        <w:tc>
          <w:tcPr>
            <w:tcW w:type="dxa" w:w="1015"/>
            <w:tcBorders>
              <w:top w:val="single" w:color="000000" w:sz="4"/>
              <w:left w:val="single" w:color="000000" w:sz="4"/>
              <w:bottom w:val="single" w:color="000000" w:sz="4"/>
              <w:right w:val="single" w:color="000000" w:sz="4"/>
            </w:tcBorders>
            <w:vAlign w:val="top"/>
          </w:tcPr>
          <w:p>
            <w:pPr>
              <w:jc w:val="center"/>
            </w:pPr>
            <w:r>
              <w:rPr>
                <w:sz w:val="21"/>
              </w:rPr>
              <w:t>米</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253.00</w:t>
            </w:r>
          </w:p>
        </w:tc>
        <w:tc>
          <w:tcPr>
            <w:tcW w:type="dxa" w:w="3514"/>
            <w:vMerge w:val="restart"/>
            <w:tcBorders>
              <w:top w:val="single" w:color="000000" w:sz="4"/>
              <w:left w:val="single" w:color="000000" w:sz="4"/>
              <w:bottom w:val="single" w:color="000000" w:sz="4"/>
              <w:right w:val="single" w:color="000000" w:sz="4"/>
            </w:tcBorders>
            <w:vAlign w:val="top"/>
          </w:tcPr>
          <w:p>
            <w:pPr>
              <w:jc w:val="center"/>
            </w:pPr>
            <w:r>
              <w:rPr>
                <w:sz w:val="21"/>
              </w:rPr>
              <w:t>根据甲方下乡调研摸底的情况确定相应位置，具体数量在服务期内会有适量动态调整</w:t>
            </w:r>
            <w:r>
              <w:rPr>
                <w:sz w:val="21"/>
              </w:rPr>
              <w:t>，乙方须保证满足甲方的要求</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修建机耕桥</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座</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5.00</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挡土墙</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1.00</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修建灌溉渠及排水设施</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米</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140.00</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156"/>
            <w:tcBorders>
              <w:top w:val="none" w:color="000000" w:sz="4"/>
              <w:left w:val="single" w:color="000000" w:sz="4"/>
              <w:bottom w:val="single" w:color="000000" w:sz="4"/>
              <w:right w:val="single" w:color="000000" w:sz="4"/>
            </w:tcBorders>
            <w:vAlign w:val="top"/>
          </w:tcPr>
          <w:p>
            <w:pPr>
              <w:jc w:val="center"/>
            </w:pPr>
            <w:r>
              <w:rPr>
                <w:sz w:val="21"/>
              </w:rPr>
              <w:t>其它简便交通水利设施</w:t>
            </w:r>
          </w:p>
        </w:tc>
        <w:tc>
          <w:tcPr>
            <w:tcW w:type="dxa" w:w="1015"/>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13"/>
            <w:tcBorders>
              <w:top w:val="none" w:color="000000" w:sz="4"/>
              <w:left w:val="single" w:color="000000" w:sz="4"/>
              <w:bottom w:val="single" w:color="000000" w:sz="4"/>
              <w:right w:val="single" w:color="000000" w:sz="4"/>
            </w:tcBorders>
            <w:vAlign w:val="top"/>
          </w:tcPr>
          <w:p>
            <w:pPr>
              <w:jc w:val="center"/>
            </w:pPr>
            <w:r>
              <w:rPr>
                <w:sz w:val="21"/>
              </w:rPr>
              <w:t>1.00</w:t>
            </w:r>
          </w:p>
        </w:tc>
      </w:tr>
    </w:tbl>
    <w:p>
      <w:pPr>
        <w:jc w:val="both"/>
      </w:pPr>
      <w:r>
        <w:rPr>
          <w:b/>
          <w:sz w:val="21"/>
        </w:rPr>
        <w:t>三、项目内容</w:t>
      </w:r>
    </w:p>
    <w:p>
      <w:r>
        <w:rPr>
          <w:sz w:val="21"/>
        </w:rPr>
        <w:t>1、种植基地：</w:t>
      </w:r>
    </w:p>
    <w:p>
      <w:r>
        <w:rPr>
          <w:sz w:val="21"/>
        </w:rPr>
        <w:t>（</w:t>
      </w:r>
      <w:r>
        <w:rPr>
          <w:sz w:val="21"/>
        </w:rPr>
        <w:t>1）按照甲方相关要求及指定的位置，选取集中连片的撂荒耕地，打造一个约100亩的水稻种植示范基地，提供五年服务期，并做好相关种植、管护工作。</w:t>
      </w:r>
    </w:p>
    <w:p>
      <w:r>
        <w:rPr>
          <w:sz w:val="21"/>
        </w:rPr>
        <w:t>（</w:t>
      </w:r>
      <w:r>
        <w:rPr>
          <w:sz w:val="21"/>
        </w:rPr>
        <w:t>2）前期做好整治、清杂、修建相关水利设施等工作，使耕地恢复生产耕作条件。</w:t>
      </w:r>
    </w:p>
    <w:p>
      <w:r>
        <w:rPr>
          <w:sz w:val="21"/>
        </w:rPr>
        <w:t>（</w:t>
      </w:r>
      <w:r>
        <w:rPr>
          <w:sz w:val="21"/>
        </w:rPr>
        <w:t>3）完善种植基地相关配套设施，包括但不限于设立标志牌、指示牌、宣传栏、农作物展示区等。</w:t>
      </w:r>
    </w:p>
    <w:p>
      <w:r>
        <w:rPr>
          <w:sz w:val="21"/>
        </w:rPr>
        <w:t>（</w:t>
      </w:r>
      <w:r>
        <w:rPr>
          <w:sz w:val="21"/>
        </w:rPr>
        <w:t>4）保证五年内每年种植一年两造（一年两熟）粮食作物，要求今年开春时完成第一造播种。</w:t>
      </w:r>
    </w:p>
    <w:p>
      <w:r>
        <w:rPr>
          <w:sz w:val="21"/>
        </w:rPr>
        <w:t>（</w:t>
      </w:r>
      <w:r>
        <w:rPr>
          <w:sz w:val="21"/>
        </w:rPr>
        <w:t>5）提供相应的技术推广及培训服务：以种植基地为平台，吸引周边农户、相关农业部门或群体组织前来交流学习，推广先进的种植技术并提供完善的培训服务。</w:t>
      </w:r>
    </w:p>
    <w:p>
      <w:r>
        <w:rPr>
          <w:sz w:val="21"/>
        </w:rPr>
        <w:t>2、撂荒耕地综合整治：</w:t>
      </w:r>
    </w:p>
    <w:p>
      <w:r>
        <w:rPr>
          <w:sz w:val="21"/>
        </w:rPr>
        <w:t>（</w:t>
      </w:r>
      <w:r>
        <w:rPr>
          <w:sz w:val="21"/>
        </w:rPr>
        <w:t>1）对甲方确定的图斑内撂荒耕地以及全镇村边和村道以上公路、铁路两旁可视范围内具备复耕条件的撂荒耕地（总面积不超800亩）进行复耕复种，并提供三年服务期，保证每年种植一年两造（一年两熟）粮食作物。撂荒耕地位置在服务期内会有适量动态调整，具体位置按照甲方及上级部门的要求执行。</w:t>
      </w:r>
    </w:p>
    <w:p>
      <w:r>
        <w:rPr>
          <w:sz w:val="21"/>
        </w:rPr>
        <w:t>（</w:t>
      </w:r>
      <w:r>
        <w:rPr>
          <w:sz w:val="21"/>
        </w:rPr>
        <w:t>2）结合河头镇的土质属性按照“一田一策，宜粮则粮”的原则，乙方自行选择谷物、豆类、薯类为主等符合复耕复种要求的粮食作物进行复耕复种，保证粮食作物的健康生长及熟制要求。当甲方或上级部门对部分粮食作物有种植任务要求时，乙方必须满足相关要求。</w:t>
      </w:r>
    </w:p>
    <w:p>
      <w:r>
        <w:rPr>
          <w:sz w:val="21"/>
        </w:rPr>
        <w:t>3、简便交通水利设施建设：</w:t>
      </w:r>
    </w:p>
    <w:p>
      <w:r>
        <w:rPr>
          <w:sz w:val="21"/>
        </w:rPr>
        <w:t>（</w:t>
      </w:r>
      <w:r>
        <w:rPr>
          <w:sz w:val="21"/>
        </w:rPr>
        <w:t>1）根据甲方相关要求，在2024年7、8月份左右完成所有撂荒耕地（包含种植基地）相关交通水利设施建设工作，使耕地恢复生产耕作条件。</w:t>
      </w:r>
    </w:p>
    <w:p>
      <w:r>
        <w:rPr>
          <w:sz w:val="21"/>
        </w:rPr>
        <w:t>（</w:t>
      </w:r>
      <w:r>
        <w:rPr>
          <w:sz w:val="21"/>
        </w:rPr>
        <w:t>2）交通水利设施建设具体位置：根据甲方下乡调研摸底的情况及村民反映意见来确定。</w:t>
      </w:r>
    </w:p>
    <w:p>
      <w:r>
        <w:rPr>
          <w:sz w:val="21"/>
        </w:rPr>
        <w:t>（</w:t>
      </w:r>
      <w:r>
        <w:rPr>
          <w:sz w:val="21"/>
        </w:rPr>
        <w:t>3）交通水利设施建设的要求：具体修建数量要保证满足通行、种植、灌溉、管护等实施本项目所需的要求。</w:t>
      </w:r>
    </w:p>
    <w:p>
      <w:r>
        <w:rPr>
          <w:sz w:val="21"/>
        </w:rPr>
        <w:t>4、其他：乙方在开展活动过程中必须提供所需的人员、物料、设备、工具、机械及车辆等。</w:t>
      </w:r>
    </w:p>
    <w:p>
      <w:pPr>
        <w:jc w:val="both"/>
      </w:pPr>
      <w:r>
        <w:rPr>
          <w:b/>
          <w:sz w:val="21"/>
        </w:rPr>
        <w:t>四、履行期限和地点</w:t>
      </w:r>
    </w:p>
    <w:p>
      <w:pPr>
        <w:jc w:val="both"/>
      </w:pPr>
      <w:r>
        <w:rPr>
          <w:sz w:val="21"/>
        </w:rPr>
        <w:t>1、服务期：</w:t>
      </w:r>
    </w:p>
    <w:p>
      <w:r>
        <w:rPr>
          <w:sz w:val="21"/>
        </w:rPr>
        <w:t>（</w:t>
      </w:r>
      <w:r>
        <w:rPr>
          <w:sz w:val="21"/>
        </w:rPr>
        <w:t>1）</w:t>
      </w:r>
      <w:r>
        <w:rPr>
          <w:sz w:val="21"/>
        </w:rPr>
        <w:t>水稻种植示范基地建设：自合同签订生效之日起</w:t>
      </w:r>
      <w:r>
        <w:rPr>
          <w:sz w:val="21"/>
        </w:rPr>
        <w:t>5年。</w:t>
      </w:r>
    </w:p>
    <w:p>
      <w:r>
        <w:rPr>
          <w:sz w:val="21"/>
        </w:rPr>
        <w:t>（</w:t>
      </w:r>
      <w:r>
        <w:rPr>
          <w:sz w:val="21"/>
        </w:rPr>
        <w:t>2）</w:t>
      </w:r>
      <w:r>
        <w:rPr>
          <w:sz w:val="21"/>
        </w:rPr>
        <w:t>撂荒耕地综合整治（不含种植基地）：自合同签订生效之日起</w:t>
      </w:r>
      <w:r>
        <w:rPr>
          <w:sz w:val="21"/>
        </w:rPr>
        <w:t>3年。</w:t>
      </w:r>
    </w:p>
    <w:p>
      <w:pPr>
        <w:jc w:val="both"/>
      </w:pPr>
      <w:r>
        <w:rPr>
          <w:sz w:val="21"/>
        </w:rPr>
        <w:t>2、地点：甲方指定地点。</w:t>
      </w:r>
    </w:p>
    <w:p>
      <w:pPr>
        <w:jc w:val="both"/>
      </w:pPr>
      <w:r>
        <w:rPr>
          <w:b/>
          <w:sz w:val="21"/>
        </w:rPr>
        <w:t>五、服务要求</w:t>
      </w:r>
    </w:p>
    <w:p>
      <w:r>
        <w:rPr>
          <w:sz w:val="21"/>
        </w:rPr>
        <w:t>1、</w:t>
      </w:r>
      <w:r>
        <w:rPr>
          <w:sz w:val="21"/>
        </w:rPr>
        <w:t>由</w:t>
      </w:r>
      <w:r>
        <w:rPr>
          <w:sz w:val="21"/>
        </w:rPr>
        <w:t>乙方</w:t>
      </w:r>
      <w:r>
        <w:rPr>
          <w:sz w:val="21"/>
        </w:rPr>
        <w:t>组织实施农田整理、种子选择、除草、施肥、灌溉、虫害防治、维护管理等相关工作及</w:t>
      </w:r>
      <w:r>
        <w:rPr>
          <w:sz w:val="21"/>
        </w:rPr>
        <w:t>承担</w:t>
      </w:r>
      <w:r>
        <w:rPr>
          <w:sz w:val="21"/>
        </w:rPr>
        <w:t>相关责任</w:t>
      </w:r>
      <w:r>
        <w:rPr>
          <w:sz w:val="21"/>
        </w:rPr>
        <w:t>，保证粮食作物有较高的成活率。</w:t>
      </w:r>
    </w:p>
    <w:p>
      <w:r>
        <w:rPr>
          <w:sz w:val="21"/>
        </w:rPr>
        <w:t>2、水稻种植基地以建设成为示范区为目标，乙方需无偿为周边农户提供相关技术指导及培训。</w:t>
      </w:r>
    </w:p>
    <w:p>
      <w:r>
        <w:rPr>
          <w:sz w:val="21"/>
        </w:rPr>
        <w:t>3、种植生产垃圾要做到及时清理，农田内无明显的废弃物，能坚持在重大节日前进行突击清理。</w:t>
      </w:r>
    </w:p>
    <w:p>
      <w:r>
        <w:rPr>
          <w:sz w:val="21"/>
        </w:rPr>
        <w:t>4、服务期内，如若遇到台风、连续暴雨等不可控因素，乙方应安排应急人员作出应急措施保障植物的存活率，以达到预期效果。</w:t>
      </w:r>
    </w:p>
    <w:p>
      <w:r>
        <w:rPr>
          <w:sz w:val="21"/>
        </w:rPr>
        <w:t>5、乙方在耕种过程中如对现有道路造成损坏的，须及时修复。</w:t>
      </w:r>
    </w:p>
    <w:p>
      <w:r>
        <w:rPr>
          <w:sz w:val="21"/>
        </w:rPr>
        <w:t>6、乙方须按甲方要求在现场存在安全隐患的区域做好相关安全防护措施。</w:t>
      </w:r>
    </w:p>
    <w:p>
      <w:pPr>
        <w:jc w:val="both"/>
      </w:pPr>
      <w:r>
        <w:rPr>
          <w:b/>
          <w:sz w:val="21"/>
        </w:rPr>
        <w:t>六、人员管理要求</w:t>
      </w:r>
    </w:p>
    <w:p>
      <w:pPr>
        <w:jc w:val="both"/>
      </w:pPr>
      <w:r>
        <w:rPr>
          <w:sz w:val="21"/>
        </w:rPr>
        <w:t>1、为使项目按质、按量、按时及有序实施，乙方应提供充足的技术人员投入到本服务项目开展工作。</w:t>
      </w:r>
    </w:p>
    <w:p>
      <w:pPr>
        <w:jc w:val="both"/>
      </w:pPr>
      <w:r>
        <w:rPr>
          <w:sz w:val="21"/>
        </w:rPr>
        <w:t>2、乙方须为本项目配备专门的项目联系人，负责：①对项目内容、工作进度安排、协调进行统筹安排；②对项目成果在技术层面进行整体把握；③及时有效对接甲方，汇报工作内容。</w:t>
      </w:r>
    </w:p>
    <w:p>
      <w:pPr>
        <w:jc w:val="both"/>
      </w:pPr>
      <w:r>
        <w:rPr>
          <w:sz w:val="21"/>
        </w:rPr>
        <w:t>3、甲方有权以书面形式要求乙方更换不能按规定履行合同的人员。即使是甲方要求或同意更换的人员，其代替人员的资质仍应得到甲方的认可，且其资质和经验均不得低于被更换人员。</w:t>
      </w:r>
    </w:p>
    <w:p>
      <w:pPr>
        <w:jc w:val="both"/>
      </w:pPr>
      <w:r>
        <w:rPr>
          <w:sz w:val="21"/>
        </w:rPr>
        <w:t>4、乙方如需招聘复耕复种作业人员，需优先聘请河头镇内本地人员，保障当地就业。</w:t>
      </w:r>
    </w:p>
    <w:p>
      <w:pPr>
        <w:jc w:val="both"/>
      </w:pPr>
      <w:r>
        <w:rPr>
          <w:sz w:val="21"/>
        </w:rPr>
        <w:t>5、乙方须对其雇员的人身安全负全部责任。服务期内，乙方的服务人员因执行本项目出现的伤亡，由乙方负责处理。</w:t>
      </w:r>
    </w:p>
    <w:p>
      <w:pPr>
        <w:jc w:val="both"/>
      </w:pPr>
      <w:r>
        <w:rPr>
          <w:sz w:val="21"/>
        </w:rPr>
        <w:t>6、服务期内，乙方的服务人员在执行服务中造成他人人身伤亡、财产损失的，由乙方负责处理。</w:t>
      </w:r>
    </w:p>
    <w:p>
      <w:pPr>
        <w:jc w:val="both"/>
      </w:pPr>
      <w:r>
        <w:rPr>
          <w:b/>
          <w:sz w:val="21"/>
        </w:rPr>
        <w:t>七、保险</w:t>
      </w:r>
    </w:p>
    <w:p>
      <w:pPr>
        <w:ind w:firstLine="420"/>
        <w:jc w:val="both"/>
      </w:pPr>
      <w:r>
        <w:rPr>
          <w:sz w:val="21"/>
        </w:rPr>
        <w:t>乙方须为参与本项目的工作人员购买人身意外保险，保险期须涵盖整个项目服务期。</w:t>
      </w:r>
    </w:p>
    <w:p>
      <w:pPr>
        <w:jc w:val="both"/>
      </w:pPr>
      <w:r>
        <w:rPr>
          <w:b/>
          <w:sz w:val="21"/>
        </w:rPr>
        <w:t>八、验收要求</w:t>
      </w:r>
    </w:p>
    <w:p>
      <w:r>
        <w:rPr>
          <w:sz w:val="21"/>
        </w:rPr>
        <w:t>1、乙方提交的项目成果须满足国家、省、市有关法律法规、规范、规定、规程、标准、规划等要求并按照采购文件要求执行。</w:t>
      </w:r>
    </w:p>
    <w:p>
      <w:r>
        <w:rPr>
          <w:sz w:val="21"/>
        </w:rPr>
        <w:t>2、乙方要确保该项目完成后通过甲方组织的多次或不定期验收，并确保在该项目通过验收后必须到达各级政府的图斑验收要求。</w:t>
      </w:r>
    </w:p>
    <w:p>
      <w:r>
        <w:rPr>
          <w:b/>
          <w:sz w:val="21"/>
        </w:rPr>
        <w:t>九、履约保证金</w:t>
      </w:r>
    </w:p>
    <w:p>
      <w:r>
        <w:rPr>
          <w:sz w:val="21"/>
        </w:rPr>
        <w:t>1、乙方在合同签订前向甲方提交的履约保证金（合同总价的5%），退还方式：原路退还。</w:t>
      </w:r>
    </w:p>
    <w:p>
      <w:r>
        <w:rPr>
          <w:sz w:val="21"/>
        </w:rPr>
        <w:t>2、在合同履行期间如无出现违反采购文件及合同条款的行为，履约保证金在服务期结束（合同期满）后一个月内无息退还（或解除保函）。</w:t>
      </w:r>
    </w:p>
    <w:p>
      <w:r>
        <w:rPr>
          <w:sz w:val="21"/>
        </w:rPr>
        <w:t>3、若出现以下情形，履约保证金将不予退还：</w:t>
      </w:r>
    </w:p>
    <w:p>
      <w:r>
        <w:rPr>
          <w:sz w:val="21"/>
        </w:rPr>
        <w:t>（</w:t>
      </w:r>
      <w:r>
        <w:rPr>
          <w:sz w:val="21"/>
        </w:rPr>
        <w:t>1）乙方将中标项目转让或分包给他人；</w:t>
      </w:r>
    </w:p>
    <w:p>
      <w:r>
        <w:rPr>
          <w:sz w:val="21"/>
        </w:rPr>
        <w:t>（</w:t>
      </w:r>
      <w:r>
        <w:rPr>
          <w:sz w:val="21"/>
        </w:rPr>
        <w:t>2）乙方无故拒绝履行合同；</w:t>
      </w:r>
    </w:p>
    <w:p>
      <w:r>
        <w:rPr>
          <w:sz w:val="21"/>
        </w:rPr>
        <w:t>（</w:t>
      </w:r>
      <w:r>
        <w:rPr>
          <w:sz w:val="21"/>
        </w:rPr>
        <w:t>3）乙方连续三次项目验收整改不通过。</w:t>
      </w:r>
    </w:p>
    <w:p>
      <w:r>
        <w:rPr>
          <w:sz w:val="21"/>
        </w:rPr>
        <w:t>4、甲方如逾期退还履约保证金，则每日按履约保证金的1‰向乙方偿付违约金；如为保函、保险形式的履约保证金，则项目验收通过后解除项目履约担保（或银行保函、或项目保险）即可。</w:t>
      </w:r>
    </w:p>
    <w:p>
      <w:pPr>
        <w:jc w:val="both"/>
      </w:pPr>
      <w:r>
        <w:rPr>
          <w:b/>
          <w:sz w:val="21"/>
        </w:rPr>
        <w:t>十、付款方式</w:t>
      </w:r>
    </w:p>
    <w:p>
      <w:r>
        <w:rPr>
          <w:sz w:val="21"/>
        </w:rPr>
        <w:t>1、由甲方按下列程序付款：</w:t>
      </w:r>
    </w:p>
    <w:p>
      <w:r>
        <w:rPr>
          <w:sz w:val="21"/>
        </w:rPr>
        <w:t>（</w:t>
      </w:r>
      <w:r>
        <w:rPr>
          <w:sz w:val="21"/>
        </w:rPr>
        <w:t>1）合同签订后，甲方向乙方支付合同总金额的50%作为预付款；</w:t>
      </w:r>
    </w:p>
    <w:p>
      <w:r>
        <w:rPr>
          <w:sz w:val="21"/>
        </w:rPr>
        <w:t>（</w:t>
      </w:r>
      <w:r>
        <w:rPr>
          <w:sz w:val="21"/>
        </w:rPr>
        <w:t>2）乙方在2024年7-8月左右完成种植基地建设、完成本项目范围内所有撂荒耕地（包含种植基地）的第一造粮食作物种植，且本项目实施所需的交通水利设施修建完成后，甲方再向乙方支付至合同总金额的90%；</w:t>
      </w:r>
    </w:p>
    <w:p>
      <w:r>
        <w:rPr>
          <w:sz w:val="21"/>
        </w:rPr>
        <w:t>（</w:t>
      </w:r>
      <w:r>
        <w:rPr>
          <w:sz w:val="21"/>
        </w:rPr>
        <w:t>3）乙方全面完成本项目范围内所有撂荒耕地（包含种植基地）的第二造粮食作物种植后，甲方在2024年12月31日前向乙方付清合同余款。</w:t>
      </w:r>
    </w:p>
    <w:p>
      <w:r>
        <w:rPr>
          <w:sz w:val="21"/>
        </w:rPr>
        <w:t>2、乙方凭以下有效文件向甲方申请支付：</w:t>
      </w:r>
    </w:p>
    <w:p>
      <w:r>
        <w:rPr>
          <w:sz w:val="21"/>
        </w:rPr>
        <w:t>（</w:t>
      </w:r>
      <w:r>
        <w:rPr>
          <w:sz w:val="21"/>
        </w:rPr>
        <w:t>1）合同；</w:t>
      </w:r>
    </w:p>
    <w:p>
      <w:r>
        <w:rPr>
          <w:sz w:val="21"/>
        </w:rPr>
        <w:t>（</w:t>
      </w:r>
      <w:r>
        <w:rPr>
          <w:sz w:val="21"/>
        </w:rPr>
        <w:t>2）乙方开具有效的正式发票；</w:t>
      </w:r>
    </w:p>
    <w:p>
      <w:r>
        <w:rPr>
          <w:sz w:val="21"/>
        </w:rPr>
        <w:t>（</w:t>
      </w:r>
      <w:r>
        <w:rPr>
          <w:sz w:val="21"/>
        </w:rPr>
        <w:t>3）成交通知书；</w:t>
      </w:r>
    </w:p>
    <w:p>
      <w:r>
        <w:rPr>
          <w:sz w:val="21"/>
        </w:rPr>
        <w:t>（</w:t>
      </w:r>
      <w:r>
        <w:rPr>
          <w:sz w:val="21"/>
        </w:rPr>
        <w:t>4）甲方要求的其他相关付款资料。</w:t>
      </w:r>
    </w:p>
    <w:p>
      <w:r>
        <w:rPr>
          <w:sz w:val="21"/>
        </w:rPr>
        <w:t>3、付款方式：采用银行转账等形式。</w:t>
      </w:r>
    </w:p>
    <w:p>
      <w:r>
        <w:rPr>
          <w:sz w:val="21"/>
        </w:rPr>
        <w:t>4、甲方延迟支付乙方款项的，应当支付逾期利息，逾期利息的利率为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1"/>
        </w:rPr>
        <w:t>十一、成果归属及项目收益</w:t>
      </w:r>
    </w:p>
    <w:p>
      <w:pPr>
        <w:jc w:val="both"/>
      </w:pPr>
      <w:r>
        <w:rPr>
          <w:sz w:val="21"/>
        </w:rPr>
        <w:t>1、种植基地收益要求：①土地租金：根据土地权属，乙方按照市场价支付给种植基地所在的村集体土地租金，具体租赁细节由其双方另签订租赁合同自行协商；②乡村振兴民生实事发展资金：为办好民生实事，乙方每年支付给种植基地所对应的行政村人民币2万元作为乡村振兴民生实事发展资金；③村集体投资收益：为更好地提高民众参与感，大力推进基地种植工作，乙方接受河头镇村集体对种植基地的投资，并获得年化不低于6.5%的收益，在每年8月31日前支付当年收益，其他投资细节由其双方另行约定。</w:t>
      </w:r>
    </w:p>
    <w:p>
      <w:pPr>
        <w:jc w:val="both"/>
      </w:pPr>
      <w:r>
        <w:rPr>
          <w:sz w:val="21"/>
        </w:rPr>
        <w:t>2、所有撂荒耕地（含种植基地）服务期内的粮食作物收成归乙方所有。</w:t>
      </w:r>
    </w:p>
    <w:p>
      <w:r>
        <w:rPr>
          <w:b/>
          <w:sz w:val="21"/>
        </w:rPr>
        <w:t>十二、违约责任</w:t>
      </w:r>
    </w:p>
    <w:p>
      <w:r>
        <w:rPr>
          <w:sz w:val="21"/>
        </w:rPr>
        <w:t>1、合同签订后，乙方无故拒绝履行合同而导致项目中止的，甲方有权解除合同，乙方须按合同总金额的100%赔付违约金。</w:t>
      </w:r>
    </w:p>
    <w:p>
      <w:r>
        <w:rPr>
          <w:sz w:val="21"/>
        </w:rPr>
        <w:t>2、当交通水利设施建设不能满足本项目实施要求的，乙方须按照甲方要求进行整改，整改后仍不达标的，扣罚合同总金额的5%。</w:t>
      </w:r>
    </w:p>
    <w:p>
      <w:r>
        <w:rPr>
          <w:sz w:val="21"/>
        </w:rPr>
        <w:t>3、</w:t>
      </w:r>
      <w:r>
        <w:rPr>
          <w:sz w:val="21"/>
        </w:rPr>
        <w:t>当项目因种植的作物不符合复耕复种要求或粮食作物成活率</w:t>
      </w:r>
      <w:r>
        <w:rPr>
          <w:sz w:val="21"/>
        </w:rPr>
        <w:t>≤80%</w:t>
      </w:r>
      <w:r>
        <w:rPr>
          <w:sz w:val="21"/>
        </w:rPr>
        <w:t>（不可抗力因素除外）而导致项目不能通过验收时，</w:t>
      </w:r>
      <w:r>
        <w:rPr>
          <w:sz w:val="21"/>
        </w:rPr>
        <w:t>乙方</w:t>
      </w:r>
      <w:r>
        <w:rPr>
          <w:sz w:val="21"/>
        </w:rPr>
        <w:t>须按照</w:t>
      </w:r>
      <w:r>
        <w:rPr>
          <w:sz w:val="21"/>
        </w:rPr>
        <w:t>甲方</w:t>
      </w:r>
      <w:r>
        <w:rPr>
          <w:sz w:val="21"/>
        </w:rPr>
        <w:t>要求进行整改，整改后仍达不到验收标准的，扣罚合同总金额的</w:t>
      </w:r>
      <w:r>
        <w:rPr>
          <w:sz w:val="21"/>
        </w:rPr>
        <w:t>1%（多次验收的按该比例每次进行扣罚）。</w:t>
      </w:r>
    </w:p>
    <w:p>
      <w:r>
        <w:rPr>
          <w:sz w:val="21"/>
        </w:rPr>
        <w:t>4、</w:t>
      </w:r>
      <w:r>
        <w:rPr>
          <w:sz w:val="21"/>
        </w:rPr>
        <w:t>当项目因复耕复种的面积达不到撂荒耕地的整治要求而导致项目不能通过验收时，</w:t>
      </w:r>
      <w:r>
        <w:rPr>
          <w:sz w:val="21"/>
        </w:rPr>
        <w:t>乙方</w:t>
      </w:r>
      <w:r>
        <w:rPr>
          <w:sz w:val="21"/>
        </w:rPr>
        <w:t>须按照</w:t>
      </w:r>
      <w:r>
        <w:rPr>
          <w:sz w:val="21"/>
        </w:rPr>
        <w:t>甲方</w:t>
      </w:r>
      <w:r>
        <w:rPr>
          <w:sz w:val="21"/>
        </w:rPr>
        <w:t>要求进行整改，整改后仍达不到验收标准的，</w:t>
      </w:r>
      <w:r>
        <w:rPr>
          <w:sz w:val="21"/>
        </w:rPr>
        <w:t>不达标部分</w:t>
      </w:r>
      <w:r>
        <w:rPr>
          <w:sz w:val="21"/>
        </w:rPr>
        <w:t>每亩扣罚人民币</w:t>
      </w:r>
      <w:r>
        <w:rPr>
          <w:sz w:val="21"/>
        </w:rPr>
        <w:t>5000元</w:t>
      </w:r>
      <w:r>
        <w:rPr>
          <w:sz w:val="21"/>
        </w:rPr>
        <w:t>（多次验收的按该金额每次进行扣罚）</w:t>
      </w:r>
      <w:r>
        <w:rPr>
          <w:sz w:val="21"/>
        </w:rPr>
        <w:t>。</w:t>
      </w:r>
    </w:p>
    <w:p>
      <w:r>
        <w:rPr>
          <w:sz w:val="21"/>
        </w:rPr>
        <w:t>5、</w:t>
      </w:r>
      <w:r>
        <w:rPr>
          <w:sz w:val="21"/>
        </w:rPr>
        <w:t>验收认定为不合格地块的，如果</w:t>
      </w:r>
      <w:r>
        <w:rPr>
          <w:sz w:val="21"/>
        </w:rPr>
        <w:t>乙方</w:t>
      </w:r>
      <w:r>
        <w:rPr>
          <w:sz w:val="21"/>
        </w:rPr>
        <w:t>在规定的时限内拒绝整改或整改三次后未能再次验收通过，</w:t>
      </w:r>
      <w:r>
        <w:rPr>
          <w:sz w:val="21"/>
        </w:rPr>
        <w:t>甲方</w:t>
      </w:r>
      <w:r>
        <w:rPr>
          <w:sz w:val="21"/>
        </w:rPr>
        <w:t>有权发放本项目终止通知，终止</w:t>
      </w:r>
      <w:r>
        <w:rPr>
          <w:sz w:val="21"/>
        </w:rPr>
        <w:t>乙方</w:t>
      </w:r>
      <w:r>
        <w:rPr>
          <w:sz w:val="21"/>
        </w:rPr>
        <w:t>合同，</w:t>
      </w:r>
      <w:r>
        <w:rPr>
          <w:sz w:val="21"/>
        </w:rPr>
        <w:t>且乙方须</w:t>
      </w:r>
      <w:r>
        <w:rPr>
          <w:sz w:val="21"/>
        </w:rPr>
        <w:t>按每亩</w:t>
      </w:r>
      <w:r>
        <w:rPr>
          <w:sz w:val="21"/>
        </w:rPr>
        <w:t>6000元赔付违约金。</w:t>
      </w:r>
    </w:p>
    <w:p>
      <w:pPr>
        <w:jc w:val="both"/>
      </w:pPr>
      <w:r>
        <w:rPr>
          <w:b/>
          <w:sz w:val="21"/>
        </w:rPr>
        <w:t>十三、其他要求</w:t>
      </w:r>
    </w:p>
    <w:p>
      <w:pPr>
        <w:jc w:val="both"/>
      </w:pPr>
      <w:r>
        <w:rPr>
          <w:sz w:val="21"/>
        </w:rPr>
        <w:t>1、乙方在服务期内违反国家相关法律法规，均由乙方负责处理，甲方不予承担任何责任。</w:t>
      </w:r>
    </w:p>
    <w:p>
      <w:pPr>
        <w:jc w:val="both"/>
      </w:pPr>
      <w:r>
        <w:rPr>
          <w:sz w:val="21"/>
        </w:rPr>
        <w:t>2、乙方须严格履行合同约定，提高服务质量和水平，确保甲方信息安全，在未征得甲方同意的情况下，乙方及其工作人员不得在本项目合同以外事项中引用、发表或向第三者提供与本项目相关的资料，否则将根据产生的后果承担相应的赔偿责任及法律责任。</w:t>
      </w:r>
    </w:p>
    <w:p>
      <w:r>
        <w:rPr>
          <w:b/>
          <w:sz w:val="21"/>
        </w:rPr>
        <w:t>十四、合同变更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十五、合同解除和终止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十六、争议的解决</w:t>
      </w:r>
    </w:p>
    <w:p>
      <w:pPr>
        <w:ind w:firstLine="420"/>
      </w:pPr>
      <w:r>
        <w:rPr>
          <w:sz w:val="21"/>
        </w:rPr>
        <w:t>合同执行过程中发生的任何争议，如双方不能通过友好协商解决，按相关法律法规处理。</w:t>
      </w:r>
    </w:p>
    <w:p>
      <w:r>
        <w:rPr>
          <w:b/>
          <w:sz w:val="21"/>
        </w:rPr>
        <w:t>十七、不可抗力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十八、税费</w:t>
      </w:r>
    </w:p>
    <w:p>
      <w:pPr>
        <w:ind w:firstLine="411"/>
      </w:pPr>
      <w:r>
        <w:rPr>
          <w:sz w:val="21"/>
        </w:rPr>
        <w:t>在中国境内、外发生的与本合同执行有关的一切税费均由乙方负担。</w:t>
      </w:r>
    </w:p>
    <w:p>
      <w:r>
        <w:rPr>
          <w:b/>
          <w:sz w:val="21"/>
        </w:rPr>
        <w:t>十九、其它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二十、合同生效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pPr>
        <w:jc w:val="both"/>
      </w:pPr>
    </w:p>
    <w:p>
      <w:r>
        <w:rPr/>
        <w:t xml:space="preserve"> </w:t>
      </w: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445321-2024-00087</w:t>
      </w:r>
    </w:p>
    <w:p>
      <w:pPr>
        <w:jc w:val="center"/>
      </w:pPr>
      <w:r>
        <w:rPr>
          <w:b/>
          <w:sz w:val="24"/>
        </w:rPr>
        <w:t>采购项目编号：</w:t>
      </w:r>
      <w:r>
        <w:rPr>
          <w:b/>
          <w:sz w:val="24"/>
        </w:rPr>
        <w:t>YFZC24FC0006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新兴县河头镇撂荒耕地综合整治项目</w:t>
      </w:r>
      <w:r>
        <w:rPr>
          <w:u w:val="single"/>
        </w:rPr>
        <w:t>”</w:t>
      </w:r>
      <w:r>
        <w:rPr/>
        <w:t>项目的竞争性磋商[采购项目编号为：</w:t>
      </w:r>
      <w:r>
        <w:rPr>
          <w:u w:val="single"/>
        </w:rPr>
        <w:t>YFZC24FC0006</w:t>
      </w:r>
      <w:r>
        <w:rPr/>
        <w:t>]，我方愿参与响应。</w:t>
      </w:r>
    </w:p>
    <w:p>
      <w:pPr>
        <w:ind w:firstLine="480"/>
      </w:pPr>
      <w:r>
        <w:rPr/>
        <w:t>我方确认收到贵方提供的</w:t>
      </w:r>
      <w:r>
        <w:rPr>
          <w:u w:val="single"/>
        </w:rPr>
        <w:t>“</w:t>
      </w:r>
      <w:r>
        <w:rPr>
          <w:u w:val="single"/>
        </w:rPr>
        <w:t>新兴县河头镇撂荒耕地综合整治项目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新兴县河头镇撂荒耕地综合整治项目</w:t>
      </w:r>
      <w:r>
        <w:rPr/>
        <w:t>”项目采购[采购项目编号为</w:t>
      </w:r>
      <w:r>
        <w:rPr/>
        <w:t>YFZC24FC0006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新兴县河头镇人民政府（本级）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新兴县河头镇撂荒耕地综合整治项目</w:t>
      </w:r>
      <w:r>
        <w:rPr/>
        <w:t>（采购项目编号：</w:t>
      </w:r>
      <w:r>
        <w:rPr/>
        <w:t>YFZC24FC0006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新兴县河头镇撂荒耕地综合整治项目</w:t>
      </w:r>
      <w:r>
        <w:rPr/>
        <w:t>”项目（采购项目编号：</w:t>
      </w:r>
      <w:r>
        <w:rPr/>
        <w:t>YFZC24FC0006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