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445321-2024-00040</w:t>
      </w:r>
    </w:p>
    <w:p>
      <w:pPr>
        <w:jc w:val="center"/>
      </w:pPr>
      <w:r>
        <w:rPr>
          <w:b/>
          <w:sz w:val="24"/>
        </w:rPr>
        <w:t>采购项目编号：</w:t>
      </w:r>
      <w:r>
        <w:rPr>
          <w:b/>
          <w:sz w:val="24"/>
        </w:rPr>
        <w:t>YFZC24FC0002</w:t>
      </w:r>
    </w:p>
    <w:p>
      <w:pPr>
        <w:jc w:val="center"/>
      </w:pPr>
      <w:r>
        <w:rPr>
          <w:b/>
          <w:sz w:val="24"/>
        </w:rPr>
        <w:t>项目名称：</w:t>
      </w:r>
      <w:r>
        <w:rPr>
          <w:b/>
          <w:sz w:val="24"/>
        </w:rPr>
        <w:t>广东省云浮市新兴县车岗镇四村盆古坑矿区建筑用花岗岩矿矿产资源储量核实报告和开发利用方案编制工作</w:t>
      </w:r>
    </w:p>
    <w:p>
      <w:pPr>
        <w:jc w:val="center"/>
      </w:pPr>
      <w:r>
        <w:rPr>
          <w:b/>
          <w:sz w:val="24"/>
        </w:rPr>
        <w:t>采购人：</w:t>
      </w:r>
      <w:r>
        <w:rPr>
          <w:b/>
          <w:sz w:val="24"/>
        </w:rPr>
        <w:t>新兴县自然资源局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新兴县自然资源局</w:t>
      </w:r>
      <w:r>
        <w:rPr/>
        <w:t>的委托，采用</w:t>
      </w:r>
      <w:r>
        <w:rPr/>
        <w:t>竞争性磋商</w:t>
      </w:r>
      <w:r>
        <w:rPr/>
        <w:t>方式组织采购</w:t>
      </w:r>
      <w:r>
        <w:rPr/>
        <w:t>广东省云浮市新兴县车岗镇四村盆古坑矿区建筑用花岗岩矿矿产资源储量核实报告和开发利用方案编制工作</w:t>
      </w:r>
      <w:r>
        <w:rPr/>
        <w:t>。欢迎符合资格条件的供应商参加。</w:t>
      </w:r>
    </w:p>
    <w:p>
      <w:r>
        <w:rPr>
          <w:b/>
          <w:sz w:val="28"/>
        </w:rPr>
        <w:t>一.项目概述</w:t>
      </w:r>
    </w:p>
    <w:p>
      <w:r>
        <w:rPr>
          <w:b/>
          <w:sz w:val="24"/>
        </w:rPr>
        <w:t>1.名称与编号</w:t>
      </w:r>
    </w:p>
    <w:p>
      <w:pPr>
        <w:ind w:firstLine="480"/>
      </w:pPr>
      <w:r>
        <w:rPr/>
        <w:t>采购项目名称：</w:t>
      </w:r>
      <w:r>
        <w:rPr/>
        <w:t>广东省云浮市新兴县车岗镇四村盆古坑矿区建筑用花岗岩矿矿产资源储量核实报告和开发利用方案编制工作</w:t>
      </w:r>
    </w:p>
    <w:p>
      <w:pPr>
        <w:ind w:firstLine="480"/>
      </w:pPr>
      <w:r>
        <w:rPr/>
        <w:t>采购计划编号：</w:t>
      </w:r>
      <w:r>
        <w:rPr/>
        <w:t>445321-2024-00040</w:t>
      </w:r>
    </w:p>
    <w:p>
      <w:pPr>
        <w:ind w:firstLine="480"/>
      </w:pPr>
      <w:r>
        <w:rPr/>
        <w:t>采购项目编号：</w:t>
      </w:r>
      <w:r>
        <w:rPr/>
        <w:t>YFZC24FC0002</w:t>
      </w:r>
    </w:p>
    <w:p>
      <w:pPr>
        <w:ind w:firstLine="480"/>
      </w:pPr>
      <w:r>
        <w:rPr/>
        <w:t>采购方式：</w:t>
      </w:r>
      <w:r>
        <w:rPr/>
        <w:t>竞争性磋商</w:t>
      </w:r>
    </w:p>
    <w:p>
      <w:pPr>
        <w:ind w:firstLine="480"/>
      </w:pPr>
      <w:r>
        <w:rPr/>
        <w:t>预算金额：</w:t>
      </w:r>
      <w:r>
        <w:rPr/>
        <w:t>3,201,000.00</w:t>
      </w:r>
      <w:r>
        <w:rPr/>
        <w:t>元</w:t>
      </w:r>
    </w:p>
    <w:p>
      <w:r>
        <w:rPr>
          <w:b/>
          <w:sz w:val="24"/>
        </w:rPr>
        <w:t>2.项目内容及需求情况（采购项目技术规格、参数及要求）</w:t>
      </w:r>
    </w:p>
    <w:p>
      <w:pPr>
        <w:ind w:firstLine="480"/>
      </w:pPr>
    </w:p>
    <w:p/>
    <w:p>
      <w:r>
        <w:rPr/>
        <w:t>采购包1(广东省云浮市新兴县车岗镇四村盆古坑矿区建筑用花岗岩矿矿产资源储量核实报告和开发利用方案编制工作):</w:t>
      </w:r>
    </w:p>
    <w:p>
      <w:r>
        <w:rPr/>
        <w:t>采购包预算金额：3,201,000.00元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地质勘测服务</w:t>
            </w:r>
          </w:p>
        </w:tc>
        <w:tc>
          <w:tcPr>
            <w:tcW w:type="dxa" w:w="2052"/>
          </w:tcPr>
          <w:p>
            <w:r>
              <w:rPr/>
              <w:t>广东省云浮市新兴县车岗镇四村盆古坑矿区建筑用花岗岩矿矿产资源储量核实报告和开发利用方案编制工作</w:t>
            </w:r>
          </w:p>
        </w:tc>
        <w:tc>
          <w:tcPr>
            <w:tcW w:type="dxa" w:w="977"/>
          </w:tcPr>
          <w:p>
            <w:r>
              <w:rPr/>
              <w:t>1.00(项)</w:t>
            </w:r>
          </w:p>
        </w:tc>
        <w:tc>
          <w:tcPr>
            <w:tcW w:type="dxa" w:w="977"/>
          </w:tcPr>
          <w:p>
            <w:r>
              <w:rPr/>
              <w:t>详见第二章</w:t>
            </w:r>
          </w:p>
        </w:tc>
        <w:tc>
          <w:tcPr>
            <w:tcW w:type="dxa" w:w="977"/>
          </w:tcPr>
          <w:p>
            <w:r>
              <w:rPr/>
              <w:t>3,201,000.00</w:t>
            </w:r>
          </w:p>
        </w:tc>
        <w:tc>
          <w:tcPr>
            <w:tcW w:type="dxa" w:w="977"/>
          </w:tcPr>
          <w:p>
            <w:r>
              <w:rPr/>
              <w:t>否</w:t>
            </w:r>
          </w:p>
        </w:tc>
      </w:tr>
    </w:tbl>
    <w:p/>
    <w:p>
      <w:r>
        <w:rPr/>
        <w:t>本采购包不接受联合体响应</w:t>
      </w:r>
    </w:p>
    <w:p/>
    <w:p>
      <w:r>
        <w:rPr/>
        <w:t>合同履行期限：自合同生效之日起30天内完成本项目</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1）具有独立承担民事责任的能力：提供法人或者其他组织的营业执照等证明文件复印件；如供应商是自然人，提供自然人的身份证明复印件。</w:t>
      </w:r>
    </w:p>
    <w:p/>
    <w:p>
      <w:r>
        <w:rPr/>
        <w:t>2）具有良好的商业信誉和健全的财务会计制度：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3）履行合同所必需的设备和专业技术能力：在响应文件中提供声明函。</w:t>
      </w:r>
    </w:p>
    <w:p/>
    <w:p>
      <w:r>
        <w:rPr/>
        <w:t>4）有依法缴纳税收和社会保障资金的良好记录：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采购包1（广东省云浮市新兴县车岗镇四村盆古坑矿区建筑用花岗岩矿矿产资源储量核实报告和开发利用方案编制工作）：</w:t>
      </w:r>
      <w:r>
        <w:rPr/>
        <w:t>本项目不属于专门面向中小企业预留采购份额的项目。</w:t>
      </w:r>
    </w:p>
    <w:p/>
    <w:p>
      <w:r>
        <w:rPr>
          <w:b/>
          <w:sz w:val="24"/>
        </w:rPr>
        <w:t>3.本项目特定的资格要求：</w:t>
      </w:r>
    </w:p>
    <w:p>
      <w:pPr>
        <w:ind w:firstLine="480"/>
      </w:pPr>
    </w:p>
    <w:p/>
    <w:p>
      <w:r>
        <w:rPr/>
        <w:t>采购包1（广东省云浮市新兴县车岗镇四村盆古坑矿区建筑用花岗岩矿矿产资源储量核实报告和开发利用方案编制工作）：</w:t>
      </w:r>
    </w:p>
    <w:p/>
    <w:p>
      <w:r>
        <w:rPr/>
        <w:t>1)（1）供应商须具备法律、行政法规规定的其他条件：在响应文件中提供声明函。 （2）供应商须具有乙级或以上测绘资质证书（专业类别：工程测量），提供有效期内的证书复印件并加盖供应商公章。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新兴县自然资源局</w:t>
      </w:r>
    </w:p>
    <w:p>
      <w:pPr>
        <w:ind w:firstLine="480"/>
      </w:pPr>
      <w:r>
        <w:rPr/>
        <w:t>地址：</w:t>
      </w:r>
      <w:r>
        <w:rPr/>
        <w:t>新兴县新城镇广兴大道中31号</w:t>
      </w:r>
    </w:p>
    <w:p>
      <w:pPr>
        <w:ind w:firstLine="480"/>
      </w:pPr>
      <w:r>
        <w:rPr/>
        <w:t>联系方式：</w:t>
      </w:r>
      <w:r>
        <w:rPr/>
        <w:t>钟小姐 0766-2976416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简小姐 0766-2922133</w:t>
      </w:r>
    </w:p>
    <w:p>
      <w:r>
        <w:rPr>
          <w:b/>
          <w:sz w:val="24"/>
        </w:rPr>
        <w:t>3.项目联系方式</w:t>
      </w:r>
    </w:p>
    <w:p>
      <w:pPr>
        <w:ind w:firstLine="480"/>
      </w:pPr>
      <w:r>
        <w:rPr/>
        <w:t>项目联系人：</w:t>
      </w:r>
      <w:r>
        <w:rPr/>
        <w:t>简小姐</w:t>
      </w:r>
    </w:p>
    <w:p>
      <w:pPr>
        <w:ind w:firstLine="480"/>
      </w:pPr>
      <w:r>
        <w:rPr/>
        <w:t>电话：</w:t>
      </w:r>
      <w:r>
        <w:rPr/>
        <w:t>简小姐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1"/>
        </w:rPr>
        <w:t>1、交通位置</w:t>
      </w:r>
    </w:p>
    <w:p>
      <w:pPr>
        <w:ind w:firstLine="480"/>
        <w:jc w:val="left"/>
      </w:pPr>
      <w:r>
        <w:rPr>
          <w:sz w:val="21"/>
        </w:rPr>
        <w:t>拟设矿区位于新兴县城的北东部约</w:t>
      </w:r>
      <w:r>
        <w:rPr>
          <w:sz w:val="21"/>
        </w:rPr>
        <w:t>24°方向，直距约11km处，属新兴县车岗镇管辖。</w:t>
      </w:r>
    </w:p>
    <w:p>
      <w:pPr>
        <w:ind w:firstLine="480"/>
        <w:jc w:val="left"/>
      </w:pPr>
      <w:r>
        <w:rPr>
          <w:sz w:val="21"/>
        </w:rPr>
        <w:t>拟设矿区西南部有约</w:t>
      </w:r>
      <w:r>
        <w:rPr>
          <w:sz w:val="21"/>
        </w:rPr>
        <w:t>4km的乡道与S276省道相接，沿S276省道往南约10km可到达新兴县城。拟设矿区西部距离新兴江直线距离最近约2.7km，距西江直线距离最近约30km。拟设矿区陆路交通较方便，但水路运输条件较差。</w:t>
      </w:r>
    </w:p>
    <w:p>
      <w:pPr>
        <w:jc w:val="left"/>
      </w:pPr>
      <w:r>
        <w:rPr>
          <w:b/>
          <w:sz w:val="21"/>
        </w:rPr>
        <w:t>2、矿权设置</w:t>
      </w:r>
    </w:p>
    <w:p>
      <w:pPr>
        <w:jc w:val="left"/>
      </w:pPr>
      <w:r>
        <w:rPr>
          <w:sz w:val="21"/>
        </w:rPr>
        <w:t>（</w:t>
      </w:r>
      <w:r>
        <w:rPr>
          <w:sz w:val="21"/>
        </w:rPr>
        <w:t>1）矿区参数</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1702"/>
        <w:gridCol w:w="1030"/>
        <w:gridCol w:w="1414"/>
        <w:gridCol w:w="2073"/>
        <w:gridCol w:w="2087"/>
      </w:tblGrid>
      <w:tr>
        <w:tc>
          <w:tcPr>
            <w:tcW w:type="dxa" w:w="1702"/>
            <w:tcBorders>
              <w:top w:val="single" w:color="000000" w:sz="4"/>
              <w:left w:val="single" w:color="000000" w:sz="4"/>
              <w:bottom w:val="single" w:color="000000" w:sz="4"/>
              <w:right w:val="single" w:color="000000" w:sz="4"/>
            </w:tcBorders>
            <w:vAlign w:val="top"/>
          </w:tcPr>
          <w:p>
            <w:pPr>
              <w:jc w:val="center"/>
            </w:pPr>
            <w:r>
              <w:rPr>
                <w:sz w:val="21"/>
              </w:rPr>
              <w:t>矿区名称</w:t>
            </w:r>
          </w:p>
        </w:tc>
        <w:tc>
          <w:tcPr>
            <w:tcW w:type="dxa" w:w="1030"/>
            <w:tcBorders>
              <w:top w:val="single" w:color="000000" w:sz="4"/>
              <w:left w:val="single" w:color="000000" w:sz="4"/>
              <w:bottom w:val="single" w:color="000000" w:sz="4"/>
              <w:right w:val="single" w:color="000000" w:sz="4"/>
            </w:tcBorders>
            <w:vAlign w:val="top"/>
          </w:tcPr>
          <w:p>
            <w:pPr>
              <w:jc w:val="center"/>
            </w:pPr>
            <w:r>
              <w:rPr>
                <w:sz w:val="21"/>
              </w:rPr>
              <w:t>目的</w:t>
            </w:r>
          </w:p>
        </w:tc>
        <w:tc>
          <w:tcPr>
            <w:tcW w:type="dxa" w:w="5574"/>
            <w:gridSpan w:val="3"/>
            <w:tcBorders>
              <w:top w:val="single" w:color="000000" w:sz="4"/>
              <w:left w:val="single" w:color="000000" w:sz="4"/>
              <w:bottom w:val="single" w:color="000000" w:sz="4"/>
              <w:right w:val="single" w:color="000000" w:sz="4"/>
            </w:tcBorders>
            <w:vAlign w:val="top"/>
          </w:tcPr>
          <w:p>
            <w:pPr>
              <w:jc w:val="center"/>
            </w:pPr>
            <w:r>
              <w:rPr>
                <w:sz w:val="21"/>
              </w:rPr>
              <w:t>矿区主要参数</w:t>
            </w:r>
          </w:p>
        </w:tc>
      </w:tr>
      <w:tr>
        <w:tc>
          <w:tcPr>
            <w:tcW w:type="dxa" w:w="1702"/>
            <w:vMerge w:val="restart"/>
            <w:tcBorders>
              <w:top w:val="none" w:color="000000" w:sz="4"/>
              <w:left w:val="single" w:color="000000" w:sz="4"/>
              <w:bottom w:val="single" w:color="000000" w:sz="4"/>
              <w:right w:val="single" w:color="000000" w:sz="4"/>
            </w:tcBorders>
            <w:vAlign w:val="top"/>
          </w:tcPr>
          <w:p>
            <w:pPr>
              <w:jc w:val="center"/>
            </w:pPr>
            <w:r>
              <w:rPr>
                <w:sz w:val="21"/>
              </w:rPr>
              <w:t>广东省云浮市新兴县车岗镇四村盆古坑矿区</w:t>
            </w:r>
          </w:p>
        </w:tc>
        <w:tc>
          <w:tcPr>
            <w:tcW w:type="dxa" w:w="1030"/>
            <w:vMerge w:val="restart"/>
            <w:tcBorders>
              <w:top w:val="none" w:color="000000" w:sz="4"/>
              <w:left w:val="single" w:color="000000" w:sz="4"/>
              <w:bottom w:val="single" w:color="000000" w:sz="4"/>
              <w:right w:val="single" w:color="000000" w:sz="4"/>
            </w:tcBorders>
            <w:vAlign w:val="top"/>
          </w:tcPr>
          <w:p>
            <w:pPr>
              <w:jc w:val="center"/>
            </w:pPr>
            <w:r>
              <w:rPr>
                <w:sz w:val="21"/>
              </w:rPr>
              <w:t>拟设矿区</w:t>
            </w:r>
          </w:p>
          <w:p>
            <w:pPr>
              <w:jc w:val="center"/>
            </w:pPr>
            <w:r>
              <w:rPr>
                <w:sz w:val="21"/>
              </w:rPr>
              <w:t>挂牌出让</w:t>
            </w:r>
          </w:p>
        </w:tc>
        <w:tc>
          <w:tcPr>
            <w:tcW w:type="dxa" w:w="1414"/>
            <w:tcBorders>
              <w:top w:val="none" w:color="000000" w:sz="4"/>
              <w:left w:val="single" w:color="000000" w:sz="4"/>
              <w:bottom w:val="single" w:color="000000" w:sz="4"/>
              <w:right w:val="single" w:color="000000" w:sz="4"/>
            </w:tcBorders>
            <w:vAlign w:val="top"/>
          </w:tcPr>
          <w:p>
            <w:pPr>
              <w:jc w:val="center"/>
            </w:pPr>
            <w:r>
              <w:rPr>
                <w:sz w:val="21"/>
              </w:rPr>
              <w:t>拐点编号</w:t>
            </w:r>
          </w:p>
        </w:tc>
        <w:tc>
          <w:tcPr>
            <w:tcW w:type="dxa" w:w="2073"/>
            <w:tcBorders>
              <w:top w:val="single" w:color="000000" w:sz="4"/>
              <w:left w:val="single" w:color="000000" w:sz="4"/>
              <w:bottom w:val="single" w:color="000000" w:sz="4"/>
              <w:right w:val="single" w:color="000000" w:sz="4"/>
            </w:tcBorders>
            <w:vAlign w:val="top"/>
          </w:tcPr>
          <w:p>
            <w:pPr>
              <w:jc w:val="center"/>
            </w:pPr>
            <w:r>
              <w:rPr>
                <w:sz w:val="21"/>
              </w:rPr>
              <w:t>X</w:t>
            </w:r>
          </w:p>
        </w:tc>
        <w:tc>
          <w:tcPr>
            <w:tcW w:type="dxa" w:w="2087"/>
            <w:tcBorders>
              <w:top w:val="single" w:color="000000" w:sz="4"/>
              <w:left w:val="single" w:color="000000" w:sz="4"/>
              <w:bottom w:val="single" w:color="000000" w:sz="4"/>
              <w:right w:val="single" w:color="000000" w:sz="4"/>
            </w:tcBorders>
            <w:vAlign w:val="top"/>
          </w:tcPr>
          <w:p>
            <w:pPr>
              <w:jc w:val="center"/>
            </w:pPr>
            <w:r>
              <w:rPr>
                <w:sz w:val="21"/>
              </w:rPr>
              <w:t>Y</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2524035.74</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37629723.19</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2524035.85</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37629987.90</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2523412.54</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37630504.05</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2523100.41</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37629875.40</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2523459.95</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37629625.37</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073"/>
            <w:tcBorders>
              <w:top w:val="none" w:color="000000" w:sz="4"/>
              <w:left w:val="single" w:color="000000" w:sz="4"/>
              <w:bottom w:val="single" w:color="000000" w:sz="4"/>
              <w:right w:val="single" w:color="000000" w:sz="4"/>
            </w:tcBorders>
            <w:vAlign w:val="top"/>
          </w:tcPr>
          <w:p>
            <w:pPr>
              <w:jc w:val="center"/>
            </w:pPr>
            <w:r>
              <w:rPr>
                <w:sz w:val="21"/>
              </w:rPr>
              <w:t>2523639.17</w:t>
            </w:r>
          </w:p>
        </w:tc>
        <w:tc>
          <w:tcPr>
            <w:tcW w:type="dxa" w:w="2087"/>
            <w:tcBorders>
              <w:top w:val="none" w:color="000000" w:sz="4"/>
              <w:left w:val="single" w:color="000000" w:sz="4"/>
              <w:bottom w:val="single" w:color="000000" w:sz="4"/>
              <w:right w:val="single" w:color="000000" w:sz="4"/>
            </w:tcBorders>
            <w:vAlign w:val="top"/>
          </w:tcPr>
          <w:p>
            <w:pPr>
              <w:jc w:val="center"/>
            </w:pPr>
            <w:r>
              <w:rPr>
                <w:sz w:val="21"/>
              </w:rPr>
              <w:t>37629606.46</w:t>
            </w:r>
          </w:p>
        </w:tc>
      </w:tr>
      <w:tr>
        <w:tc>
          <w:tcPr>
            <w:tcW w:type="dxa" w:w="1702"/>
            <w:vMerge/>
            <w:tcBorders>
              <w:top w:val="none" w:color="000000" w:sz="4"/>
              <w:left w:val="single" w:color="000000" w:sz="4"/>
              <w:bottom w:val="single" w:color="000000" w:sz="4"/>
              <w:right w:val="single" w:color="000000" w:sz="4"/>
            </w:tcBorders>
          </w:tcPr>
          <w:p/>
        </w:tc>
        <w:tc>
          <w:tcPr>
            <w:tcW w:type="dxa" w:w="1030"/>
            <w:vMerge/>
            <w:tcBorders>
              <w:top w:val="none" w:color="000000" w:sz="4"/>
              <w:left w:val="single" w:color="000000" w:sz="4"/>
              <w:bottom w:val="single" w:color="000000" w:sz="4"/>
              <w:right w:val="single" w:color="000000" w:sz="4"/>
            </w:tcBorders>
          </w:tcPr>
          <w:p/>
        </w:tc>
        <w:tc>
          <w:tcPr>
            <w:tcW w:type="dxa" w:w="5574"/>
            <w:gridSpan w:val="3"/>
            <w:tcBorders>
              <w:top w:val="none" w:color="000000" w:sz="4"/>
              <w:left w:val="single" w:color="000000" w:sz="4"/>
              <w:bottom w:val="single" w:color="000000" w:sz="4"/>
              <w:right w:val="single" w:color="000000" w:sz="4"/>
            </w:tcBorders>
            <w:vAlign w:val="top"/>
          </w:tcPr>
          <w:p>
            <w:pPr>
              <w:jc w:val="left"/>
            </w:pPr>
            <w:r>
              <w:rPr>
                <w:sz w:val="21"/>
              </w:rPr>
              <w:t>拟设矿区面积：</w:t>
            </w:r>
            <w:r>
              <w:rPr>
                <w:sz w:val="21"/>
              </w:rPr>
              <w:t>0.5041km</w:t>
            </w:r>
            <w:r>
              <w:rPr>
                <w:sz w:val="21"/>
                <w:vertAlign w:val="superscript"/>
              </w:rPr>
              <w:t>2</w:t>
            </w:r>
            <w:r>
              <w:rPr>
                <w:sz w:val="21"/>
              </w:rPr>
              <w:t>；开采标高：</w:t>
            </w:r>
            <w:r>
              <w:rPr>
                <w:sz w:val="21"/>
              </w:rPr>
              <w:t>245～50m。</w:t>
            </w:r>
          </w:p>
        </w:tc>
      </w:tr>
    </w:tbl>
    <w:p>
      <w:pPr>
        <w:jc w:val="left"/>
      </w:pPr>
      <w:r>
        <w:rPr>
          <w:sz w:val="21"/>
        </w:rPr>
        <w:t>（</w:t>
      </w:r>
      <w:r>
        <w:rPr>
          <w:sz w:val="21"/>
        </w:rPr>
        <w:t>2）拟设矿区面积：0.5041k</w:t>
      </w:r>
      <w:r>
        <w:rPr>
          <w:sz w:val="21"/>
        </w:rPr>
        <w:t>m</w:t>
      </w:r>
      <w:r>
        <w:rPr>
          <w:sz w:val="21"/>
          <w:vertAlign w:val="superscript"/>
        </w:rPr>
        <w:t>2</w:t>
      </w:r>
      <w:r>
        <w:rPr>
          <w:sz w:val="21"/>
        </w:rPr>
        <w:t>；开采标高：</w:t>
      </w:r>
      <w:r>
        <w:rPr>
          <w:sz w:val="21"/>
        </w:rPr>
        <w:t>245～50m。</w:t>
      </w:r>
    </w:p>
    <w:p>
      <w:pPr>
        <w:ind w:firstLine="480"/>
        <w:jc w:val="left"/>
      </w:pPr>
      <w:r>
        <w:rPr>
          <w:sz w:val="21"/>
        </w:rPr>
        <w:t>新兴县自然资源局拟对广东省云浮市新兴县车岗镇四村盆古坑矿区建筑用花岗岩矿采矿权进行出让。为加快推进矿区采矿权出让工作，需要对上述拟设矿区的采矿权做出让前准备工作，包括按相关的地质规范要求，开展以下两项工作：</w:t>
      </w:r>
    </w:p>
    <w:p>
      <w:pPr>
        <w:ind w:firstLine="480"/>
        <w:jc w:val="left"/>
      </w:pPr>
      <w:r>
        <w:rPr>
          <w:sz w:val="21"/>
        </w:rPr>
        <w:t>1）对矿区开展地质勘查核实工作（地形及工程测量，地质测量，水、工、环地质测量，探矿工程，采样测试）以及《储量核实报告》的编制、评审及备案；</w:t>
      </w:r>
    </w:p>
    <w:p>
      <w:pPr>
        <w:ind w:firstLine="480"/>
        <w:jc w:val="left"/>
      </w:pPr>
      <w:r>
        <w:rPr>
          <w:sz w:val="21"/>
        </w:rPr>
        <w:t>2）《开发利用方案》的编制、评审及备案。提交合格成果应满足矿权出让的需要及后续服务。</w:t>
      </w:r>
    </w:p>
    <w:p>
      <w:pPr>
        <w:jc w:val="left"/>
      </w:pPr>
      <w:r>
        <w:rPr>
          <w:b/>
          <w:sz w:val="21"/>
        </w:rPr>
        <w:t>3、工作目的</w:t>
      </w:r>
    </w:p>
    <w:p>
      <w:pPr>
        <w:ind w:firstLine="480"/>
        <w:jc w:val="left"/>
      </w:pPr>
      <w:r>
        <w:rPr>
          <w:sz w:val="21"/>
        </w:rPr>
        <w:t>（</w:t>
      </w:r>
      <w:r>
        <w:rPr>
          <w:sz w:val="21"/>
        </w:rPr>
        <w:t>1）对矿区开展详细地质勘查工作，基本查明矿区内地层、构造、岩浆岩的分布及特征；基本查明矿区内建筑用花岗岩矿的分布及出露情况、矿石的主要物性指标；基本查明矿床的开采技术条件；对矿体进行圈定并估算资源储量；为该矿区的采矿权出让及未来矿山开发提供地质基础依据。</w:t>
      </w:r>
    </w:p>
    <w:p>
      <w:pPr>
        <w:ind w:firstLine="480"/>
        <w:jc w:val="left"/>
      </w:pPr>
      <w:r>
        <w:rPr>
          <w:sz w:val="21"/>
        </w:rPr>
        <w:t>（</w:t>
      </w:r>
      <w:r>
        <w:rPr>
          <w:sz w:val="21"/>
        </w:rPr>
        <w:t>2）根据资源储量核实报告及评审意见，查明资源储量登记备案情况，对矿床的开发利用进行概略性研究，根据相关规程规范及绿色矿山建设需要编制《开发利用方案》，为采矿权出让收益（价款）评估、出让和矿山开发利用提供依据。</w:t>
      </w:r>
    </w:p>
    <w:p/>
    <w:p>
      <w:pPr>
        <w:ind w:firstLine="480"/>
      </w:pPr>
    </w:p>
    <w:p/>
    <w:p>
      <w:r>
        <w:rPr/>
        <w:t>采购包1（广东省云浮市新兴县车岗镇四村盆古坑矿区建筑用花岗岩矿矿产资源储量核实报告和开发利用方案编制工作）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★自合同生效之日起30天内完成本项目</w:t>
            </w:r>
          </w:p>
        </w:tc>
      </w:tr>
      <w:tr>
        <w:tc>
          <w:tcPr>
            <w:tcW w:type="dxa" w:w="4153"/>
          </w:tcPr>
          <w:p>
            <w:r>
              <w:rPr/>
              <w:t>标的提供的地点</w:t>
            </w:r>
          </w:p>
        </w:tc>
        <w:tc>
          <w:tcPr>
            <w:tcW w:type="dxa" w:w="4153"/>
          </w:tcPr>
          <w:p/>
          <w:p>
            <w:r>
              <w:rPr/>
              <w:t>★新兴县车岗镇四村盆古坑矿区</w:t>
            </w:r>
          </w:p>
        </w:tc>
      </w:tr>
      <w:tr>
        <w:tc>
          <w:tcPr>
            <w:tcW w:type="dxa" w:w="4153"/>
          </w:tcPr>
          <w:p>
            <w:r>
              <w:rPr/>
              <w:t>付款方式</w:t>
            </w:r>
          </w:p>
        </w:tc>
        <w:tc>
          <w:tcPr>
            <w:tcW w:type="dxa" w:w="4153"/>
          </w:tcPr>
          <w:p/>
          <w:p/>
          <w:p>
            <w:r>
              <w:rPr/>
              <w:t>1期：支付比例30%,★合同签订后支付合同总金额的30%；</w:t>
            </w:r>
          </w:p>
          <w:p/>
          <w:p>
            <w:r>
              <w:rPr/>
              <w:t>2期：支付比例70%,★成交供应商提交的《储量核实报告》通过广东省矿产资源储量评审中心评审并备案，《开发利用方案》通过广东省矿业协会的审查后支付合同总金额的70%。</w:t>
            </w:r>
          </w:p>
        </w:tc>
      </w:tr>
      <w:tr>
        <w:tc>
          <w:tcPr>
            <w:tcW w:type="dxa" w:w="4153"/>
          </w:tcPr>
          <w:p>
            <w:r>
              <w:rPr/>
              <w:t>验收要求</w:t>
            </w:r>
          </w:p>
        </w:tc>
        <w:tc>
          <w:tcPr>
            <w:tcW w:type="dxa" w:w="4153"/>
          </w:tcPr>
          <w:p/>
          <w:p/>
          <w:p/>
          <w:p>
            <w:r>
              <w:rPr/>
              <w:t>1期：★（1）成交供应商提交的《储量核实报告》须通过广东省矿产资源储量评审中心评审并备案，《开发利用方案》须通过广东省矿业协会的审查。 （2）成交供应商提交的技术成果不得侵犯任何第三方的知识产权及其他权利，否则由成交供应商承担相应的责任。如采购人因此而遭致损失的，成交供应商应赔偿该损失。 （3）当项目成果无法达到采购人的合理要求时，采购人可拒绝支付成交供应商相关费用，由此造成的损失全部由成交供应商承担。 （4）成交供应商须对成果文件出现的遗漏或错误负责及时修改或补充。</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★付款方式（补充），（1）成交供应商凭以下有效文件向采购人申请支付： 1）合同； 2）成交供应商开具有效的正式发票； 3）验收报告（加盖采购人公章）； 4）成交通知书； 5）采购人要求的其他相关付款资料。 （2）付款方式：采用银行转账等形式。 （3）采购人延迟支付政府采购供应商款项的，应当支付逾期利息。逾期利息的利率由采购人和成交供应商双方在签订合同时约定，约定利率不得低于合同订立时1年期贷款市场报价利率；未作约定的，按照每日利率万分之五支付逾期利息。</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（1）供应商的报价须以人民币元为单位（小数点后可保留两位小数），所报的价格不得高于项目预算。 （2）供应商的报价为含税全包价，报价必须包括资料收集费、勘查费、调查费、修路费、青苗补偿费、成果编制费、打印费、评审费、验收费、各项税费等完成合同规定责任和义务、达到合同目的的一切费用。</w:t>
            </w:r>
          </w:p>
        </w:tc>
      </w:tr>
      <w:tr>
        <w:tc>
          <w:tcPr>
            <w:tcW w:type="dxa" w:w="2076"/>
          </w:tcPr>
          <w:p>
            <w:pPr>
              <w:jc w:val="center"/>
            </w:pPr>
          </w:p>
        </w:tc>
        <w:tc>
          <w:tcPr>
            <w:tcW w:type="dxa" w:w="2076"/>
          </w:tcPr>
          <w:p>
            <w:pPr>
              <w:jc w:val="center"/>
            </w:pPr>
            <w:r>
              <w:rPr/>
              <w:t>2</w:t>
            </w:r>
          </w:p>
        </w:tc>
        <w:tc>
          <w:tcPr>
            <w:tcW w:type="dxa" w:w="2076"/>
          </w:tcPr>
          <w:p>
            <w:pPr>
              <w:jc w:val="left"/>
            </w:pPr>
            <w:r>
              <w:rPr/>
              <w:t>保险</w:t>
            </w:r>
          </w:p>
        </w:tc>
        <w:tc>
          <w:tcPr>
            <w:tcW w:type="dxa" w:w="2076"/>
          </w:tcPr>
          <w:p>
            <w:pPr>
              <w:jc w:val="left"/>
            </w:pPr>
            <w:r>
              <w:rPr/>
              <w:t>成交供应商须为参与本项目的工作人员购买人身意外保险，保险期须涵盖整个项目实施期。</w:t>
            </w:r>
          </w:p>
        </w:tc>
      </w:tr>
      <w:tr>
        <w:tc>
          <w:tcPr>
            <w:tcW w:type="dxa" w:w="2076"/>
          </w:tcPr>
          <w:p>
            <w:pPr>
              <w:jc w:val="center"/>
            </w:pPr>
          </w:p>
        </w:tc>
        <w:tc>
          <w:tcPr>
            <w:tcW w:type="dxa" w:w="2076"/>
          </w:tcPr>
          <w:p>
            <w:pPr>
              <w:jc w:val="center"/>
            </w:pPr>
            <w:r>
              <w:rPr/>
              <w:t>3</w:t>
            </w:r>
          </w:p>
        </w:tc>
        <w:tc>
          <w:tcPr>
            <w:tcW w:type="dxa" w:w="2076"/>
          </w:tcPr>
          <w:p>
            <w:pPr>
              <w:jc w:val="left"/>
            </w:pPr>
            <w:r>
              <w:rPr/>
              <w:t>其他要求</w:t>
            </w:r>
          </w:p>
        </w:tc>
        <w:tc>
          <w:tcPr>
            <w:tcW w:type="dxa" w:w="2076"/>
          </w:tcPr>
          <w:p>
            <w:pPr>
              <w:jc w:val="left"/>
            </w:pPr>
            <w:r>
              <w:rPr/>
              <w:t>★（1）项目实施期间及项目完成后一年内如果出现需成交供应商协助解决与本项目有关的技术问题，成交供应商须提供24小时即时响应；工作日在24小时响应时间内提供维护等技术服务，在出现问题的60分钟内给予问题的解答；如电话响应无法解决、需现场解决的，在问题发生的48个小时内，派相关技术人员到达现场。 （2）成交供应商在项目实施期间如违反国家相关法律法规，均由成交供应商负责处理，采购人不予承担任何责任。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地质勘测服务</w:t>
            </w:r>
          </w:p>
        </w:tc>
        <w:tc>
          <w:tcPr>
            <w:tcW w:type="dxa" w:w="933"/>
          </w:tcPr>
          <w:p>
            <w:pPr>
              <w:jc w:val="left"/>
            </w:pPr>
            <w:r>
              <w:rPr/>
              <w:t>广东省云浮市新兴县车岗镇四村盆古坑矿区建筑用花岗岩矿矿产资源储量核实报告和开发利用方案编制工作</w:t>
            </w:r>
          </w:p>
        </w:tc>
        <w:tc>
          <w:tcPr>
            <w:tcW w:type="dxa" w:w="933"/>
          </w:tcPr>
          <w:p>
            <w:pPr>
              <w:jc w:val="left"/>
            </w:pPr>
            <w:r>
              <w:rPr/>
              <w:t>项</w:t>
            </w:r>
          </w:p>
        </w:tc>
        <w:tc>
          <w:tcPr>
            <w:tcW w:type="dxa" w:w="933"/>
          </w:tcPr>
          <w:p>
            <w:pPr>
              <w:jc w:val="right"/>
            </w:pPr>
            <w:r>
              <w:rPr/>
              <w:t>1.00</w:t>
            </w:r>
          </w:p>
        </w:tc>
        <w:tc>
          <w:tcPr>
            <w:tcW w:type="dxa" w:w="933"/>
          </w:tcPr>
          <w:p>
            <w:pPr>
              <w:jc w:val="right"/>
            </w:pPr>
            <w:r>
              <w:rPr/>
              <w:t>3,201,000.00</w:t>
            </w:r>
          </w:p>
        </w:tc>
        <w:tc>
          <w:tcPr>
            <w:tcW w:type="dxa" w:w="933"/>
          </w:tcPr>
          <w:p>
            <w:pPr>
              <w:jc w:val="right"/>
            </w:pPr>
            <w:r>
              <w:rPr/>
              <w:t>3,201,000.00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广东省云浮市新兴县车岗镇四村盆古坑矿区建筑用花岗岩矿矿产资源储量核实报告和开发利用方案编制工作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b/>
                <w:sz w:val="22"/>
              </w:rPr>
              <w:t>（</w:t>
            </w:r>
            <w:r>
              <w:rPr>
                <w:b/>
                <w:sz w:val="22"/>
              </w:rPr>
              <w:t>1</w:t>
            </w:r>
            <w:r>
              <w:rPr>
                <w:b/>
                <w:sz w:val="22"/>
              </w:rPr>
              <w:t>）</w:t>
            </w:r>
            <w:r>
              <w:rPr>
                <w:b/>
                <w:sz w:val="22"/>
              </w:rPr>
              <w:t>工作内容及安排</w:t>
            </w:r>
          </w:p>
          <w:p>
            <w:r>
              <w:rPr>
                <w:sz w:val="21"/>
              </w:rPr>
              <w:t>1.1简要工作内容安排：</w:t>
            </w:r>
          </w:p>
          <w:p>
            <w:r>
              <w:rPr>
                <w:sz w:val="21"/>
              </w:rPr>
              <w:t>1.1.1地形测量：开展1：2000矿区地形测量及拟设矿区拐点埋桩，1：1000勘探线剖面测量，探矿工程点定测。</w:t>
            </w:r>
          </w:p>
          <w:p>
            <w:r>
              <w:rPr>
                <w:sz w:val="21"/>
              </w:rPr>
              <w:t>1.1.2地质测量：开展矿区及周边范围的1：2000地质填图，基本查明矿区内地层、岩浆岩、构造，基本查明花岗岩分布、产状，圈定矿体，为估算矿区的资源储量提供依据。</w:t>
            </w:r>
          </w:p>
          <w:p>
            <w:r>
              <w:rPr>
                <w:sz w:val="21"/>
              </w:rPr>
              <w:t>1.1.3水工环地质测量：开展矿区及周边范围的1：2000水工环地质填图，基本查明矿区水文地质条件、工程地质条件和环境地质条件，为矿区开采提供水、工、环地质依据。</w:t>
            </w:r>
          </w:p>
          <w:p>
            <w:r>
              <w:rPr>
                <w:sz w:val="21"/>
              </w:rPr>
              <w:t>1.1.4钻探：按照规范要求布设勘探线及钻孔（包含实施过程中的修路及青苗补偿）。</w:t>
            </w:r>
          </w:p>
          <w:p>
            <w:r>
              <w:rPr>
                <w:sz w:val="21"/>
              </w:rPr>
              <w:t>1.1.5采样及测试：包括化学分析样采集、物理性质测试样采集等。</w:t>
            </w:r>
          </w:p>
          <w:p>
            <w:r>
              <w:rPr>
                <w:sz w:val="21"/>
              </w:rPr>
              <w:t>1.1.6其他：编制成果报告等。</w:t>
            </w:r>
          </w:p>
          <w:p>
            <w:r>
              <w:rPr>
                <w:sz w:val="21"/>
              </w:rPr>
              <w:t>1.2服务量清单：</w:t>
            </w:r>
          </w:p>
          <w:p>
            <w:pPr>
              <w:ind w:firstLine="420"/>
            </w:pPr>
            <w:r>
              <w:rPr>
                <w:sz w:val="21"/>
              </w:rPr>
              <w:t>实施方案工作量不少于下表：</w:t>
            </w:r>
          </w:p>
          <w:tbl>
            <w:tblPr>
              <w:tblInd w:type="dxa" w:w="75"/>
              <w:tblBorders>
                <w:top w:val="none" w:color="000000" w:sz="4"/>
                <w:left w:val="none" w:color="000000" w:sz="4"/>
                <w:bottom w:val="none" w:color="000000" w:sz="4"/>
                <w:right w:val="none" w:color="000000" w:sz="4"/>
                <w:insideH w:val="none"/>
                <w:insideV w:val="none"/>
              </w:tblBorders>
            </w:tblPr>
            <w:tblGrid>
              <w:gridCol w:w="1226"/>
              <w:gridCol w:w="2332"/>
              <w:gridCol w:w="832"/>
              <w:gridCol w:w="1206"/>
            </w:tblGrid>
            <w:tr>
              <w:tc>
                <w:tcPr>
                  <w:tcW w:type="dxa" w:w="3558"/>
                  <w:gridSpan w:val="2"/>
                  <w:tcBorders>
                    <w:top w:val="single" w:color="000000" w:sz="4"/>
                    <w:left w:val="single" w:color="000000" w:sz="4"/>
                    <w:bottom w:val="single" w:color="000000" w:sz="4"/>
                    <w:right w:val="single" w:color="000000" w:sz="4"/>
                  </w:tcBorders>
                  <w:vAlign w:val="top"/>
                </w:tcPr>
                <w:p>
                  <w:pPr>
                    <w:jc w:val="center"/>
                  </w:pPr>
                  <w:r>
                    <w:rPr>
                      <w:sz w:val="21"/>
                    </w:rPr>
                    <w:t>工作内容</w:t>
                  </w:r>
                </w:p>
              </w:tc>
              <w:tc>
                <w:tcPr>
                  <w:tcW w:type="dxa" w:w="832"/>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1206"/>
                  <w:tcBorders>
                    <w:top w:val="single" w:color="000000" w:sz="4"/>
                    <w:left w:val="single" w:color="000000" w:sz="4"/>
                    <w:bottom w:val="single" w:color="000000" w:sz="4"/>
                    <w:right w:val="single" w:color="000000" w:sz="4"/>
                  </w:tcBorders>
                  <w:vAlign w:val="top"/>
                </w:tcPr>
                <w:p>
                  <w:pPr>
                    <w:jc w:val="center"/>
                  </w:pPr>
                  <w:r>
                    <w:rPr>
                      <w:sz w:val="21"/>
                    </w:rPr>
                    <w:t>设计工作量</w:t>
                  </w:r>
                </w:p>
              </w:tc>
            </w:tr>
            <w:tr>
              <w:tc>
                <w:tcPr>
                  <w:tcW w:type="dxa" w:w="1226"/>
                  <w:vMerge w:val="restart"/>
                  <w:tcBorders>
                    <w:top w:val="none" w:color="000000" w:sz="4"/>
                    <w:left w:val="single" w:color="000000" w:sz="4"/>
                    <w:bottom w:val="single" w:color="000000" w:sz="4"/>
                    <w:right w:val="single" w:color="000000" w:sz="4"/>
                  </w:tcBorders>
                  <w:vAlign w:val="top"/>
                </w:tcPr>
                <w:p>
                  <w:pPr>
                    <w:jc w:val="center"/>
                  </w:pPr>
                  <w:r>
                    <w:rPr>
                      <w:sz w:val="21"/>
                    </w:rPr>
                    <w:t>地形及工程测量</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1</w:t>
                  </w:r>
                  <w:r>
                    <w:rPr>
                      <w:sz w:val="21"/>
                    </w:rPr>
                    <w:t>:</w:t>
                  </w:r>
                  <w:r>
                    <w:rPr>
                      <w:sz w:val="21"/>
                    </w:rPr>
                    <w:t>2000</w:t>
                  </w:r>
                  <w:r>
                    <w:rPr>
                      <w:sz w:val="21"/>
                    </w:rPr>
                    <w:t>地形图测量</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km</w:t>
                  </w:r>
                  <w:r>
                    <w:rPr>
                      <w:sz w:val="21"/>
                      <w:vertAlign w:val="superscript"/>
                    </w:rPr>
                    <w:t>2</w:t>
                  </w:r>
                </w:p>
              </w:tc>
              <w:tc>
                <w:tcPr>
                  <w:tcW w:type="dxa" w:w="1206"/>
                  <w:tcBorders>
                    <w:top w:val="single" w:color="000000" w:sz="4"/>
                    <w:left w:val="single" w:color="000000" w:sz="4"/>
                    <w:bottom w:val="single" w:color="000000" w:sz="4"/>
                    <w:right w:val="single" w:color="000000" w:sz="4"/>
                  </w:tcBorders>
                  <w:vAlign w:val="top"/>
                </w:tcPr>
                <w:p>
                  <w:pPr>
                    <w:jc w:val="center"/>
                  </w:pPr>
                  <w:r>
                    <w:rPr>
                      <w:sz w:val="21"/>
                    </w:rPr>
                    <w:t>2.4153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工程点测量</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点</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16</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矿区范围拐点测量</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点</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6</w:t>
                  </w:r>
                </w:p>
              </w:tc>
            </w:tr>
            <w:tr>
              <w:tc>
                <w:tcPr>
                  <w:tcW w:type="dxa" w:w="1226"/>
                  <w:vMerge w:val="restart"/>
                  <w:tcBorders>
                    <w:top w:val="none" w:color="000000" w:sz="4"/>
                    <w:left w:val="single" w:color="000000" w:sz="4"/>
                    <w:bottom w:val="single" w:color="000000" w:sz="4"/>
                    <w:right w:val="single" w:color="000000" w:sz="4"/>
                  </w:tcBorders>
                  <w:vAlign w:val="top"/>
                </w:tcPr>
                <w:p>
                  <w:pPr>
                    <w:jc w:val="center"/>
                  </w:pPr>
                  <w:r>
                    <w:rPr>
                      <w:sz w:val="21"/>
                    </w:rPr>
                    <w:t>地质测量</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1</w:t>
                  </w:r>
                  <w:r>
                    <w:rPr>
                      <w:sz w:val="21"/>
                    </w:rPr>
                    <w:t>:</w:t>
                  </w:r>
                  <w:r>
                    <w:rPr>
                      <w:sz w:val="21"/>
                    </w:rPr>
                    <w:t>2000</w:t>
                  </w:r>
                  <w:r>
                    <w:rPr>
                      <w:sz w:val="21"/>
                    </w:rPr>
                    <w:t>地质测量</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km</w:t>
                  </w:r>
                  <w:r>
                    <w:rPr>
                      <w:sz w:val="21"/>
                      <w:vertAlign w:val="superscript"/>
                    </w:rPr>
                    <w:t>2</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2.4153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1</w:t>
                  </w:r>
                  <w:r>
                    <w:rPr>
                      <w:sz w:val="21"/>
                    </w:rPr>
                    <w:t>:</w:t>
                  </w:r>
                  <w:r>
                    <w:rPr>
                      <w:sz w:val="21"/>
                    </w:rPr>
                    <w:t>1000</w:t>
                  </w:r>
                  <w:r>
                    <w:rPr>
                      <w:sz w:val="21"/>
                    </w:rPr>
                    <w:t>勘探线剖面</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km</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3.6</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钻探地质编录</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m</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1280</w:t>
                  </w:r>
                </w:p>
              </w:tc>
            </w:tr>
            <w:tr>
              <w:tc>
                <w:tcPr>
                  <w:tcW w:type="dxa" w:w="1226"/>
                  <w:vMerge w:val="restart"/>
                  <w:tcBorders>
                    <w:top w:val="none" w:color="000000" w:sz="4"/>
                    <w:left w:val="single" w:color="000000" w:sz="4"/>
                    <w:bottom w:val="single" w:color="000000" w:sz="4"/>
                    <w:right w:val="single" w:color="000000" w:sz="4"/>
                  </w:tcBorders>
                  <w:vAlign w:val="top"/>
                </w:tcPr>
                <w:p>
                  <w:pPr>
                    <w:jc w:val="center"/>
                  </w:pPr>
                  <w:r>
                    <w:rPr>
                      <w:sz w:val="21"/>
                    </w:rPr>
                    <w:t>水工环地质测量</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1</w:t>
                  </w:r>
                  <w:r>
                    <w:rPr>
                      <w:sz w:val="21"/>
                    </w:rPr>
                    <w:t>:</w:t>
                  </w:r>
                  <w:r>
                    <w:rPr>
                      <w:sz w:val="21"/>
                    </w:rPr>
                    <w:t>2000</w:t>
                  </w:r>
                  <w:r>
                    <w:rPr>
                      <w:sz w:val="21"/>
                    </w:rPr>
                    <w:t>水、工、环地质填图</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km</w:t>
                  </w:r>
                  <w:r>
                    <w:rPr>
                      <w:sz w:val="21"/>
                      <w:vertAlign w:val="superscript"/>
                    </w:rPr>
                    <w:t>2</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2.4153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钻孔水文、工程地质编录</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m</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1280</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钻孔简易水文观测</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孔</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16</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钻孔抽水试验</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孔</w:t>
                  </w:r>
                  <w:r>
                    <w:rPr>
                      <w:sz w:val="21"/>
                    </w:rPr>
                    <w:t>/段</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w:t>
                  </w:r>
                </w:p>
              </w:tc>
            </w:tr>
            <w:tr>
              <w:tc>
                <w:tcPr>
                  <w:tcW w:type="dxa" w:w="1226"/>
                  <w:tcBorders>
                    <w:top w:val="none" w:color="000000" w:sz="4"/>
                    <w:left w:val="single" w:color="000000" w:sz="4"/>
                    <w:bottom w:val="single" w:color="000000" w:sz="4"/>
                    <w:right w:val="single" w:color="000000" w:sz="4"/>
                  </w:tcBorders>
                  <w:vAlign w:val="top"/>
                </w:tcPr>
                <w:p>
                  <w:pPr>
                    <w:jc w:val="center"/>
                  </w:pPr>
                  <w:r>
                    <w:rPr>
                      <w:sz w:val="21"/>
                    </w:rPr>
                    <w:t>探矿工程</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矿产（水文）地质钻探</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m/个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1280/16</w:t>
                  </w:r>
                </w:p>
              </w:tc>
            </w:tr>
            <w:tr>
              <w:tc>
                <w:tcPr>
                  <w:tcW w:type="dxa" w:w="1226"/>
                  <w:vMerge w:val="restart"/>
                  <w:tcBorders>
                    <w:top w:val="none" w:color="000000" w:sz="4"/>
                    <w:left w:val="single" w:color="000000" w:sz="4"/>
                    <w:bottom w:val="single" w:color="000000" w:sz="4"/>
                    <w:right w:val="single" w:color="000000" w:sz="4"/>
                  </w:tcBorders>
                  <w:vAlign w:val="top"/>
                </w:tcPr>
                <w:p>
                  <w:pPr>
                    <w:jc w:val="center"/>
                  </w:pPr>
                  <w:r>
                    <w:rPr>
                      <w:sz w:val="21"/>
                    </w:rPr>
                    <w:t>采样测试</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一般岩矿多项分析</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光谱分析样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岩矿鉴定</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5</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水化学分析样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6</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围岩、矿石饱和抗压样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件</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80</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稀土总量分析样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16</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矿石放射性检测样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个</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12</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块体天然密度样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件</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30</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土工检测样</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件</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15</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水洗砂试验</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件</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压碎指标</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样</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碱集料反应</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样</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坚固性</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样</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3</w:t>
                  </w:r>
                </w:p>
              </w:tc>
            </w:tr>
            <w:tr>
              <w:tc>
                <w:tcPr>
                  <w:tcW w:type="dxa" w:w="1226"/>
                  <w:vMerge w:val="restart"/>
                  <w:tcBorders>
                    <w:top w:val="none" w:color="000000" w:sz="4"/>
                    <w:left w:val="single" w:color="000000" w:sz="4"/>
                    <w:bottom w:val="single" w:color="000000" w:sz="4"/>
                    <w:right w:val="single" w:color="000000" w:sz="4"/>
                  </w:tcBorders>
                  <w:vAlign w:val="top"/>
                </w:tcPr>
                <w:p>
                  <w:pPr>
                    <w:jc w:val="center"/>
                  </w:pPr>
                  <w:r>
                    <w:rPr>
                      <w:sz w:val="21"/>
                    </w:rPr>
                    <w:t>成果报告</w:t>
                  </w:r>
                </w:p>
              </w:tc>
              <w:tc>
                <w:tcPr>
                  <w:tcW w:type="dxa" w:w="2332"/>
                  <w:tcBorders>
                    <w:top w:val="none" w:color="000000" w:sz="4"/>
                    <w:left w:val="single" w:color="000000" w:sz="4"/>
                    <w:bottom w:val="single" w:color="000000" w:sz="4"/>
                    <w:right w:val="single" w:color="000000" w:sz="4"/>
                  </w:tcBorders>
                  <w:vAlign w:val="top"/>
                </w:tcPr>
                <w:p>
                  <w:pPr>
                    <w:jc w:val="center"/>
                  </w:pPr>
                  <w:r>
                    <w:rPr>
                      <w:sz w:val="21"/>
                    </w:rPr>
                    <w:t>储量核实报告及附图</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226"/>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vAlign w:val="top"/>
                </w:tcPr>
                <w:p>
                  <w:pPr>
                    <w:jc w:val="center"/>
                  </w:pPr>
                  <w:r>
                    <w:rPr>
                      <w:sz w:val="21"/>
                    </w:rPr>
                    <w:t>开发利用方案报告及附图</w:t>
                  </w:r>
                </w:p>
              </w:tc>
              <w:tc>
                <w:tcPr>
                  <w:tcW w:type="dxa" w:w="832"/>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206"/>
                  <w:tcBorders>
                    <w:top w:val="none" w:color="000000" w:sz="4"/>
                    <w:left w:val="single" w:color="000000" w:sz="4"/>
                    <w:bottom w:val="single" w:color="000000" w:sz="4"/>
                    <w:right w:val="single" w:color="000000" w:sz="4"/>
                  </w:tcBorders>
                  <w:vAlign w:val="top"/>
                </w:tcPr>
                <w:p>
                  <w:pPr>
                    <w:jc w:val="center"/>
                  </w:pPr>
                  <w:r>
                    <w:rPr>
                      <w:sz w:val="21"/>
                    </w:rPr>
                    <w:t>1</w:t>
                  </w:r>
                </w:p>
              </w:tc>
            </w:tr>
          </w:tbl>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工作技术要求</w:t>
            </w:r>
          </w:p>
          <w:p>
            <w:r>
              <w:rPr>
                <w:sz w:val="21"/>
              </w:rPr>
              <w:t>2.1编制依据的法律法规：</w:t>
            </w:r>
          </w:p>
          <w:p>
            <w:r>
              <w:rPr>
                <w:sz w:val="21"/>
              </w:rPr>
              <w:t>2.1.1《中华人民共和国矿产资源法》；</w:t>
            </w:r>
          </w:p>
          <w:p>
            <w:r>
              <w:rPr>
                <w:sz w:val="21"/>
              </w:rPr>
              <w:t>2.1.2《中华人民共和国森林法》；</w:t>
            </w:r>
          </w:p>
          <w:p>
            <w:r>
              <w:rPr>
                <w:sz w:val="21"/>
              </w:rPr>
              <w:t>2.1.3《中华人民共和国安全生产法》；</w:t>
            </w:r>
          </w:p>
          <w:p>
            <w:r>
              <w:rPr>
                <w:sz w:val="21"/>
              </w:rPr>
              <w:t>2.1.4《中华人民共和国环境保护法》；</w:t>
            </w:r>
          </w:p>
          <w:p>
            <w:r>
              <w:rPr>
                <w:sz w:val="21"/>
              </w:rPr>
              <w:t>2.1.5《中华人民共和国矿山安全法》；</w:t>
            </w:r>
          </w:p>
          <w:p>
            <w:r>
              <w:rPr>
                <w:sz w:val="21"/>
              </w:rPr>
              <w:t>2.1.6《中华人民共和国劳动法》；</w:t>
            </w:r>
          </w:p>
          <w:p>
            <w:r>
              <w:rPr>
                <w:sz w:val="21"/>
              </w:rPr>
              <w:t>2.1.7《中华人民共和国消防法》；</w:t>
            </w:r>
          </w:p>
          <w:p>
            <w:r>
              <w:rPr>
                <w:sz w:val="21"/>
              </w:rPr>
              <w:t>2.1.8《中华人民共和国职业病防治法》；</w:t>
            </w:r>
          </w:p>
          <w:p>
            <w:r>
              <w:rPr>
                <w:sz w:val="21"/>
              </w:rPr>
              <w:t>2.1.9《矿产资源开采登记管理办法》。</w:t>
            </w:r>
          </w:p>
          <w:p>
            <w:r>
              <w:rPr>
                <w:sz w:val="21"/>
              </w:rPr>
              <w:t>2.2编制依据的规范、规程及标准：</w:t>
            </w:r>
          </w:p>
          <w:p>
            <w:r>
              <w:rPr>
                <w:sz w:val="21"/>
              </w:rPr>
              <w:t>2.2.1《储量核实报告》：</w:t>
            </w:r>
          </w:p>
          <w:p>
            <w:r>
              <w:rPr>
                <w:sz w:val="21"/>
              </w:rPr>
              <w:t>2.2.1.1《固体矿产地质勘查规范总则》（GB/T13908-2020）；</w:t>
            </w:r>
          </w:p>
          <w:p>
            <w:r>
              <w:rPr>
                <w:sz w:val="21"/>
              </w:rPr>
              <w:t>2.2.1.2《固体矿产资源储量分类》（GB/T17766-2020）；</w:t>
            </w:r>
          </w:p>
          <w:p>
            <w:r>
              <w:rPr>
                <w:sz w:val="21"/>
              </w:rPr>
              <w:t>2.2.1.3《矿区水文地质工程地质勘查规范》（GB/T 12719-2021）；</w:t>
            </w:r>
          </w:p>
          <w:p>
            <w:r>
              <w:rPr>
                <w:sz w:val="21"/>
              </w:rPr>
              <w:t>2.2.1.4《矿产地质勘查规范建筑用石料类》（DZ/T0341-2020）；</w:t>
            </w:r>
          </w:p>
          <w:p>
            <w:r>
              <w:rPr>
                <w:sz w:val="21"/>
              </w:rPr>
              <w:t>2.2.1.5《建设用卵石、碎石》（GB/T14685-2022）；</w:t>
            </w:r>
          </w:p>
          <w:p>
            <w:r>
              <w:rPr>
                <w:sz w:val="21"/>
              </w:rPr>
              <w:t>2.2.1.6《建设用砂》（GB/T14684-2022）；</w:t>
            </w:r>
          </w:p>
          <w:p>
            <w:r>
              <w:rPr>
                <w:sz w:val="21"/>
              </w:rPr>
              <w:t>2.2.1.7《固体矿产地质勘查报告编写规范》（DZ/T 0033-2020）；</w:t>
            </w:r>
          </w:p>
          <w:p>
            <w:r>
              <w:rPr>
                <w:sz w:val="21"/>
              </w:rPr>
              <w:t>2.2.1.8《矿山闭坑地质报告编写规范》（DZ/T 0347-2020）；</w:t>
            </w:r>
          </w:p>
          <w:p>
            <w:r>
              <w:rPr>
                <w:sz w:val="21"/>
              </w:rPr>
              <w:t>2.2.1.9《建筑材料放射性核素限量》（GB6566-2010）。</w:t>
            </w:r>
          </w:p>
          <w:p>
            <w:r>
              <w:rPr>
                <w:sz w:val="21"/>
              </w:rPr>
              <w:t>2.2.2《开发利用方案》：</w:t>
            </w:r>
          </w:p>
          <w:p>
            <w:r>
              <w:rPr>
                <w:sz w:val="21"/>
              </w:rPr>
              <w:t>2.2.2.1《爆破安全规程》（GB6722-2014）；</w:t>
            </w:r>
          </w:p>
          <w:p>
            <w:r>
              <w:rPr>
                <w:sz w:val="21"/>
              </w:rPr>
              <w:t>2.2.2.2《矿山安全标志》（GB/T14161-2008）；</w:t>
            </w:r>
          </w:p>
          <w:p>
            <w:r>
              <w:rPr>
                <w:sz w:val="21"/>
              </w:rPr>
              <w:t>2.2.2.3《金属非金属矿山安全规程》（GB 16423-2020）；</w:t>
            </w:r>
          </w:p>
          <w:p>
            <w:r>
              <w:rPr>
                <w:sz w:val="21"/>
              </w:rPr>
              <w:t>2.2.2.4《水泥灰岩绿色矿山建设规范》（DZ/T0318-2018）；</w:t>
            </w:r>
          </w:p>
          <w:p>
            <w:r>
              <w:rPr>
                <w:sz w:val="21"/>
              </w:rPr>
              <w:t>2.2.2.5《环境空气质量标准》（GB3095-2012）；</w:t>
            </w:r>
          </w:p>
          <w:p>
            <w:r>
              <w:rPr>
                <w:sz w:val="21"/>
              </w:rPr>
              <w:t>2.2.2.6《地表水环境质量标准》（GB3838-2002）；</w:t>
            </w:r>
          </w:p>
          <w:p>
            <w:r>
              <w:rPr>
                <w:sz w:val="21"/>
              </w:rPr>
              <w:t>2.2.2.7《土地复垦质量控制标准》（TD/T1036-2013）；</w:t>
            </w:r>
          </w:p>
          <w:p>
            <w:r>
              <w:rPr>
                <w:sz w:val="21"/>
              </w:rPr>
              <w:t>2.2.2.8《矿山生态环境保护与恢复治理技术规范》（HJ651-2013）；</w:t>
            </w:r>
          </w:p>
          <w:p>
            <w:r>
              <w:rPr>
                <w:sz w:val="21"/>
              </w:rPr>
              <w:t>2.2.2.9《企业安全生产标准化基本规范》（GB/T 33000-2016）；</w:t>
            </w:r>
          </w:p>
          <w:p>
            <w:r>
              <w:rPr>
                <w:sz w:val="21"/>
              </w:rPr>
              <w:t>2.2.2.10《工业企业设计卫生标准》（GBZ 1-2010）；</w:t>
            </w:r>
          </w:p>
          <w:p>
            <w:r>
              <w:rPr>
                <w:sz w:val="21"/>
              </w:rPr>
              <w:t>2.2.2.11《污水综合排放标准》（GB 8978-1996）；</w:t>
            </w:r>
          </w:p>
          <w:p>
            <w:r>
              <w:rPr>
                <w:sz w:val="21"/>
              </w:rPr>
              <w:t>2.2.2.12《大气污染物综合排放标准》（GB16297-1996）；</w:t>
            </w:r>
          </w:p>
          <w:p>
            <w:r>
              <w:rPr>
                <w:sz w:val="21"/>
              </w:rPr>
              <w:t>2.2.2.13《工业企业噪声控制设计规范》（GB/T 50087-2013）；</w:t>
            </w:r>
          </w:p>
          <w:p>
            <w:r>
              <w:rPr>
                <w:sz w:val="21"/>
              </w:rPr>
              <w:t>2.2.2.14《矿山电力设计标准》（GB 50070-2020）；</w:t>
            </w:r>
          </w:p>
          <w:p>
            <w:r>
              <w:rPr>
                <w:sz w:val="21"/>
              </w:rPr>
              <w:t>2.2.2.15《建筑材料放射性核素限量》（GB6566-2010）；</w:t>
            </w:r>
          </w:p>
          <w:p>
            <w:r>
              <w:rPr>
                <w:sz w:val="21"/>
              </w:rPr>
              <w:t>2.2.2.16《民用建筑工程室内环境污染控制标准》（GB 50325-2020）；</w:t>
            </w:r>
          </w:p>
          <w:p>
            <w:r>
              <w:rPr>
                <w:sz w:val="21"/>
              </w:rPr>
              <w:t>2.2.2.17《工作场所空气中粉尘测定 第1部分:总粉尘浓度》（GBZ/T 192.1-2007）；</w:t>
            </w:r>
          </w:p>
          <w:p>
            <w:r>
              <w:rPr>
                <w:sz w:val="21"/>
              </w:rPr>
              <w:t>2.2.2.18《工作场所空气中粉尘测定 第3部分:粉尘分散度》（GBZ/T 192.3-2007）；</w:t>
            </w:r>
          </w:p>
          <w:p>
            <w:r>
              <w:rPr>
                <w:sz w:val="21"/>
              </w:rPr>
              <w:t>2.2.2.19《工作场所空气中粉尘测定 第4部分:游离二氧化硅含量》（GBZ/T 192.4-2007）；</w:t>
            </w:r>
          </w:p>
          <w:p>
            <w:r>
              <w:rPr>
                <w:sz w:val="21"/>
              </w:rPr>
              <w:t>2.2.2.20《一般工业固体废物贮存和填埋污染控制标准》（GB 18599-2020）；</w:t>
            </w:r>
          </w:p>
          <w:p>
            <w:r>
              <w:rPr>
                <w:sz w:val="21"/>
              </w:rPr>
              <w:t>2.2.2.21《生活饮用水卫生标准》（GB 5749-2022）；</w:t>
            </w:r>
          </w:p>
          <w:p>
            <w:r>
              <w:rPr>
                <w:sz w:val="21"/>
              </w:rPr>
              <w:t>2.2.2.22《矿山采矿手册》（北京冶金出版社，2006.5）。</w:t>
            </w:r>
          </w:p>
        </w:tc>
      </w:tr>
      <w:tr>
        <w:tc>
          <w:tcPr>
            <w:tcW w:type="dxa" w:w="2076"/>
          </w:tcPr>
          <w:p>
            <w:r>
              <w:rPr/>
              <w:t>★</w:t>
            </w:r>
          </w:p>
        </w:tc>
        <w:tc>
          <w:tcPr>
            <w:tcW w:type="dxa" w:w="415"/>
          </w:tcPr>
          <w:p>
            <w:r>
              <w:rPr/>
              <w:t>3</w:t>
            </w:r>
          </w:p>
        </w:tc>
        <w:tc>
          <w:tcPr>
            <w:tcW w:type="dxa" w:w="5814"/>
          </w:tcPr>
          <w:p>
            <w:r>
              <w:rPr>
                <w:b/>
                <w:sz w:val="21"/>
              </w:rPr>
              <w:t>（</w:t>
            </w:r>
            <w:r>
              <w:rPr>
                <w:b/>
                <w:sz w:val="21"/>
              </w:rPr>
              <w:t>3）服务要求</w:t>
            </w:r>
          </w:p>
          <w:p>
            <w:r>
              <w:rPr>
                <w:sz w:val="21"/>
              </w:rPr>
              <w:t>3.1本项目要求供应商对矿区所在地人文环境较熟悉，有较强的沟通和协调能力，能自行组织野外作业施工。</w:t>
            </w:r>
          </w:p>
          <w:p>
            <w:r>
              <w:rPr>
                <w:sz w:val="21"/>
              </w:rPr>
              <w:t>3.2供应商应配备足够数量的技术人员、物力的资源以及设备，保证项目进度要求，保证按质量按时完成采购人委托的业务并且提交成果。</w:t>
            </w:r>
          </w:p>
          <w:p>
            <w:r>
              <w:rPr>
                <w:sz w:val="21"/>
              </w:rPr>
              <w:t>3.3保密要求：成交供应商在项目实施过程中，对采购人所提供的所有相关资料、数据、文件等，未经采购人书面同意不得向第三方泄露，且保密责任不因合同的终止或解除而失效。如采购人提出要求，成交供应商须无条件与采购人签订保密协议。</w:t>
            </w:r>
          </w:p>
          <w:p>
            <w:r>
              <w:rPr>
                <w:sz w:val="21"/>
              </w:rPr>
              <w:t>3.4成交供应商须严格按磋商文件要求和响应文件承诺开展工作，确保在承诺的项目完成时间内实施和提交成果，每延期一天提交成果的，将扣减合同总价的5‰，延期时间达10天的，采购人将有权终止合同。</w:t>
            </w:r>
          </w:p>
        </w:tc>
      </w:tr>
      <w:tr>
        <w:tc>
          <w:tcPr>
            <w:tcW w:type="dxa" w:w="2076"/>
          </w:tcPr>
          <w:p/>
        </w:tc>
        <w:tc>
          <w:tcPr>
            <w:tcW w:type="dxa" w:w="415"/>
          </w:tcPr>
          <w:p>
            <w:r>
              <w:rPr/>
              <w:t>4</w:t>
            </w:r>
          </w:p>
        </w:tc>
        <w:tc>
          <w:tcPr>
            <w:tcW w:type="dxa" w:w="5814"/>
          </w:tcPr>
          <w:p>
            <w:r>
              <w:rPr>
                <w:b/>
                <w:sz w:val="22"/>
              </w:rPr>
              <w:t>（</w:t>
            </w:r>
            <w:r>
              <w:rPr>
                <w:b/>
                <w:sz w:val="22"/>
              </w:rPr>
              <w:t>4）管理要求</w:t>
            </w:r>
          </w:p>
          <w:p>
            <w:r>
              <w:rPr>
                <w:sz w:val="21"/>
              </w:rPr>
              <w:t>4.1为使项目按质、按量、按时及有序实施，本项目必须有一个完善且固定的项目实施小组，具体负责本项目的实施、管理等工作。</w:t>
            </w:r>
          </w:p>
          <w:p>
            <w:r>
              <w:rPr>
                <w:sz w:val="21"/>
              </w:rPr>
              <w:t>4.2项目负责人负责项目实施中的技术管理，负责最终成果的提交工作。对于特种作业必须配备特种作业人员。项目人员按专业、工种进行分工。项目工作中既要有分工，又要有合作，相互协助配合好工作，要严格遵守各项规章制度，确保项目工作开展能更好地计划、协调和服务。</w:t>
            </w:r>
          </w:p>
          <w:p>
            <w:r>
              <w:rPr>
                <w:sz w:val="21"/>
              </w:rPr>
              <w:t>4.3合同期内不可变更项目负责人，项目人员的变更需经采购人同意，否则属违反合同。但如果项目人员缺乏经验或业务水平不能胜任本项目，采购人提出要求更换项目负责人或其他人员的，成交供应商必须按要求进行更换。</w:t>
            </w:r>
          </w:p>
          <w:p>
            <w:r>
              <w:rPr>
                <w:sz w:val="21"/>
              </w:rPr>
              <w:t>4.4项目服务期限内，遇台风或强降雨期间，成交供应商须自行停工，注意野外安全。如遇意外，成交供应商须自行负责，采购人不再额外支付相关费用。</w:t>
            </w:r>
          </w:p>
        </w:tc>
      </w:tr>
      <w:tr>
        <w:tc>
          <w:tcPr>
            <w:tcW w:type="dxa" w:w="2076"/>
          </w:tcPr>
          <w:p>
            <w:r>
              <w:rPr/>
              <w:t>★</w:t>
            </w:r>
          </w:p>
        </w:tc>
        <w:tc>
          <w:tcPr>
            <w:tcW w:type="dxa" w:w="415"/>
          </w:tcPr>
          <w:p>
            <w:r>
              <w:rPr/>
              <w:t>5</w:t>
            </w:r>
          </w:p>
        </w:tc>
        <w:tc>
          <w:tcPr>
            <w:tcW w:type="dxa" w:w="5814"/>
          </w:tcPr>
          <w:p>
            <w:r>
              <w:rPr>
                <w:b/>
                <w:sz w:val="22"/>
              </w:rPr>
              <w:t>（</w:t>
            </w:r>
            <w:r>
              <w:rPr>
                <w:b/>
                <w:sz w:val="22"/>
              </w:rPr>
              <w:t>5）成果要求</w:t>
            </w:r>
          </w:p>
          <w:p>
            <w:r>
              <w:rPr>
                <w:sz w:val="21"/>
              </w:rPr>
              <w:t>5.1成果：矿区的《储量核实报告》、《开发利用方案》。提交的成果质量必须符合自然资源部门等有关规定和要求，提交成果报告电子版壹份，纸质份数需满足采购人需求及评审、备案需求。</w:t>
            </w:r>
          </w:p>
          <w:p>
            <w:r>
              <w:rPr>
                <w:sz w:val="21"/>
              </w:rPr>
              <w:t>5.2成交供应商在项目的实施过程中，如采购人发现不符合相关规范标准和规定要求的质量问题，其返工费用由成交供应商负责。</w:t>
            </w:r>
          </w:p>
          <w:p>
            <w:r>
              <w:rPr>
                <w:sz w:val="21"/>
              </w:rPr>
              <w:t>5.3如成交供应商在项目实施中出现质量不符合规范标准和规定要求，经采购人书面要求限期改正，仍不能达到目的质量要求的，采购人有权单方终止合同，其费用由成交供应商负责，同时采购人保留对由此耽误工期所造成的损失要求经济赔偿的权力。</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新兴县自然资源局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采购机构代理服务收费标准：收费标准参照国家计委颁布的（计价格[2002]1980号）“服务招标”收费标准执行，收费金额按差额定率累进法计算。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2024年01月29日下午15：00（注：2024年01月29日下午14：30开始受理纸质响应文件）（北京时间）。2、纸质响应文件送达地点：新兴县新城镇新洲大道南69号（城北商住区东区）第二层201室开标室。3、所有纸质响应文件必须装入密封的信封或封套。纸质响应文件的正本、副本应分别封装，并在每一信封或包装的封面上注明：采购项目名称、采购项目编号、供应商名称、联系人、联系电话、“于××年××月××日××时××分（纸质响应文件递交截止时间）之前不准启封”字样、正本/副本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云浮市新兴县车岗镇四村盆古坑矿区建筑用花岗岩矿矿产资源储量核实报告和开发利用方案编制工作)：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采购包1（广东省云浮市新兴县车岗镇四村盆古坑矿区建筑用花岗岩矿矿产资源储量核实报告和开发利用方案编制工作）：</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20%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采购包1（广东省云浮市新兴县车岗镇四村盆古坑矿区建筑用花岗岩矿矿产资源储量核实报告和开发利用方案编制工作）：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提供法人或者其他组织的营业执照等证明文件复印件；如供应商是自然人，提供自然人的身份证明复印件。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响应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合同包1(广东省云浮市新兴县车岗镇四村盆古坑矿区建筑用花岗岩矿矿产资源储量核实报告和开发利用方案编制工作)特定资格要求如下</w:t>
            </w:r>
          </w:p>
        </w:tc>
        <w:tc>
          <w:tcPr>
            <w:tcW w:type="dxa" w:w="4238"/>
          </w:tcPr>
          <w:p>
            <w:r>
              <w:rPr/>
              <w:t>（1）供应商须具备法律、行政法规规定的其他条件：在响应文件中提供声明函。 （2）供应商须具有乙级或以上测绘资质证书（专业类别：工程测量），提供有效期内的证书复印件并加盖供应商公章。 （3）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（4）本项目不接受联合体参加投标，不允许转包和分包。 （5）本项目为一个整体，供应商须对全部内容进行投标，不得分拆。</w:t>
            </w:r>
          </w:p>
        </w:tc>
      </w:tr>
      <w:tr>
        <w:tc>
          <w:tcPr>
            <w:tcW w:type="dxa" w:w="890"/>
          </w:tcPr>
          <w:p>
            <w:r>
              <w:rPr/>
              <w:t>7</w:t>
            </w:r>
          </w:p>
        </w:tc>
        <w:tc>
          <w:tcPr>
            <w:tcW w:type="dxa" w:w="3178"/>
          </w:tcPr>
          <w:p>
            <w:r>
              <w:rPr/>
              <w:t>落实政府采购政策需满足的资格要求</w:t>
            </w:r>
          </w:p>
        </w:tc>
        <w:tc>
          <w:tcPr>
            <w:tcW w:type="dxa" w:w="4238"/>
          </w:tcPr>
          <w:p>
            <w:r>
              <w:rPr/>
              <w:t>本项目不属于专门面向中小企业预留采购份额的项目。</w:t>
            </w:r>
          </w:p>
        </w:tc>
      </w:tr>
    </w:tbl>
    <w:p/>
    <w:p>
      <w:pPr>
        <w:ind w:firstLine="480"/>
      </w:pPr>
      <w:r>
        <w:rPr/>
        <w:t>表二符合性审查表：</w:t>
      </w:r>
    </w:p>
    <w:p>
      <w:pPr>
        <w:ind w:firstLine="480"/>
      </w:pPr>
    </w:p>
    <w:p/>
    <w:p>
      <w:r>
        <w:rPr/>
        <w:t>采购包1（广东省云浮市新兴县车岗镇四村盆古坑矿区建筑用花岗岩矿矿产资源储量核实报告和开发利用方案编制工作）：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响应文件完整且总体编排有序，并按磋商文件规定要求签署、盖章的</w:t>
            </w:r>
          </w:p>
        </w:tc>
        <w:tc>
          <w:tcPr>
            <w:tcW w:type="dxa" w:w="4238"/>
          </w:tcPr>
          <w:p>
            <w:r>
              <w:rPr/>
              <w:t>响应文件完整且总体编排有序，并按磋商文件规定要求签署、盖章的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采购包1(广东省云浮市新兴县车岗镇四村盆古坑矿区建筑用花岗岩矿矿产资源储量核实报告和开发利用方案编制工作):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对本项目的理解 (8.0分)</w:t>
            </w:r>
            <w:r>
              <w:rPr/>
              <w:t>，（等次分值选择：</w:t>
            </w:r>
            <w:r>
              <w:rPr/>
              <w:t>0.0;</w:t>
            </w:r>
            <w:r>
              <w:rPr/>
              <w:t>2.0;</w:t>
            </w:r>
            <w:r>
              <w:rPr/>
              <w:t>4.0;</w:t>
            </w:r>
            <w:r>
              <w:rPr/>
              <w:t>6.0;</w:t>
            </w:r>
            <w:r>
              <w:rPr/>
              <w:t>8.0;</w:t>
            </w:r>
            <w:r>
              <w:rPr/>
              <w:t>）</w:t>
            </w:r>
          </w:p>
        </w:tc>
        <w:tc>
          <w:tcPr>
            <w:tcW w:type="dxa" w:w="5076"/>
          </w:tcPr>
          <w:p>
            <w:pPr>
              <w:jc w:val="left"/>
            </w:pPr>
            <w:r>
              <w:rPr/>
              <w:t>由磋商小组根据供应商对本项目的理解（内容包括但不限于本项目背景资料收集、需求理解、分析项目区域地质、基础地质、地质简测及服务目标阐述等）进行评审： （1）对本项目背景了解透彻，资料收集齐全，需求理解全面，地质情况分析准确，能准确详细阐述项目服务目标的，得8分； （2）对本项目背景相对了解，资料收集较齐全，需求理解较全面，地质情况分析较准确，能准确阐述项目服务目标的，得6分； （3）对本项目背景了解较浅，资料收集基本齐全，需求基本理解，对地质情况有一定的分析，能简单阐述项目服务目标的，得4分； （4）对本项目背景欠了解，资料收集不齐全，需求理解有欠缺，地质情况分析不到位，不能明确项目服务目标的，得2分； （5）无提供方案的不得分。</w:t>
            </w:r>
          </w:p>
        </w:tc>
      </w:tr>
      <w:tr>
        <w:tc>
          <w:tcPr>
            <w:tcW w:type="dxa" w:w="922"/>
            <w:gridSpan w:val="2"/>
            <w:vMerge/>
          </w:tcPr>
          <w:p/>
        </w:tc>
        <w:tc>
          <w:tcPr>
            <w:tcW w:type="dxa" w:w="2307"/>
          </w:tcPr>
          <w:p>
            <w:pPr>
              <w:jc w:val="left"/>
            </w:pPr>
            <w:r>
              <w:rPr/>
              <w:t>技术方案 (13.0分)</w:t>
            </w:r>
            <w:r>
              <w:rPr/>
              <w:t>，（等次分值选择：</w:t>
            </w:r>
            <w:r>
              <w:rPr/>
              <w:t>0.0;</w:t>
            </w:r>
            <w:r>
              <w:rPr/>
              <w:t>3.0;</w:t>
            </w:r>
            <w:r>
              <w:rPr/>
              <w:t>6.0;</w:t>
            </w:r>
            <w:r>
              <w:rPr/>
              <w:t>9.0;</w:t>
            </w:r>
            <w:r>
              <w:rPr/>
              <w:t>13.0;</w:t>
            </w:r>
            <w:r>
              <w:rPr/>
              <w:t>）</w:t>
            </w:r>
          </w:p>
        </w:tc>
        <w:tc>
          <w:tcPr>
            <w:tcW w:type="dxa" w:w="5076"/>
          </w:tcPr>
          <w:p>
            <w:pPr>
              <w:jc w:val="left"/>
            </w:pPr>
            <w:r>
              <w:rPr/>
              <w:t>由磋商小组根据供应商提供的技术方案（内容包括但不限于技术要求、工作精度、工作方法、工作路线（包括野外调查、勘探机械运输的路线）、拟投入的设备仪器（包括全站仪、钻机、无人机、GPS等）等）进行评审： （1）技术要求规范合理，整体符合采购文件要求，工作精度高，工作方法客观、真实完整，工作路线可行，拟投入的设备仪器配备齐全、充足，得13分； （2）技术要求较为规范合理，整体较符合采购文件要求，工作精度较高，工作方法较客观、较真实完整，工作路线较可行，拟投入的设备仪器配备较齐全、较充足，得9分； （3）技术要求基本规范，整体基本符合采购文件要求，工作精度一般，工作方法的客观性和真实完整程度一般，工作路线基本可行，拟投入的设备仪器配备基本齐全，得6分； （4）技术要求不合理，整体与采购文件要求有一定偏差，工作精度较差，工作方法不客观、真实完整程度低，工作路线缺乏可行性，拟投入的设备仪器配备不齐全，得3分； （5）无提供方案的不得分。 【备注：响应文件中须提供设备仪器的购置发票（发票购买方须为供应商）复印件或以供应商名义签订的设备仪器租赁合同复印件，不提供不得分。】</w:t>
            </w:r>
          </w:p>
        </w:tc>
      </w:tr>
      <w:tr>
        <w:tc>
          <w:tcPr>
            <w:tcW w:type="dxa" w:w="922"/>
            <w:gridSpan w:val="2"/>
            <w:vMerge/>
          </w:tcPr>
          <w:p/>
        </w:tc>
        <w:tc>
          <w:tcPr>
            <w:tcW w:type="dxa" w:w="2307"/>
          </w:tcPr>
          <w:p>
            <w:pPr>
              <w:jc w:val="left"/>
            </w:pPr>
            <w:r>
              <w:rPr/>
              <w:t>工作部署和进度安排 (7.0分)</w:t>
            </w:r>
            <w:r>
              <w:rPr/>
              <w:t>，（等次分值选择：</w:t>
            </w:r>
            <w:r>
              <w:rPr/>
              <w:t>0.0;</w:t>
            </w:r>
            <w:r>
              <w:rPr/>
              <w:t>1.0;</w:t>
            </w:r>
            <w:r>
              <w:rPr/>
              <w:t>4.0;</w:t>
            </w:r>
            <w:r>
              <w:rPr/>
              <w:t>7.0;</w:t>
            </w:r>
            <w:r>
              <w:rPr/>
              <w:t>）</w:t>
            </w:r>
          </w:p>
        </w:tc>
        <w:tc>
          <w:tcPr>
            <w:tcW w:type="dxa" w:w="5076"/>
          </w:tcPr>
          <w:p>
            <w:pPr>
              <w:jc w:val="left"/>
            </w:pPr>
            <w:r>
              <w:rPr/>
              <w:t>由磋商小组根据供应商提供的工作部署和进度安排进行评审： （1）工作部署系统性高、条理性强，进度安排科学合理、组织有序，得7分； （2）工作部署的系统性、条理性一般，进度安排基本合理、组织基本有序，得4分； （3）工作部署不到位、无条理，进度安排不合理、组织无序，得1分； （4）无提供方案的不得分。</w:t>
            </w:r>
          </w:p>
        </w:tc>
      </w:tr>
      <w:tr>
        <w:tc>
          <w:tcPr>
            <w:tcW w:type="dxa" w:w="922"/>
            <w:gridSpan w:val="2"/>
            <w:vMerge/>
          </w:tcPr>
          <w:p/>
        </w:tc>
        <w:tc>
          <w:tcPr>
            <w:tcW w:type="dxa" w:w="2307"/>
          </w:tcPr>
          <w:p>
            <w:pPr>
              <w:jc w:val="left"/>
            </w:pPr>
            <w:r>
              <w:rPr/>
              <w:t>项目实施保障方案 (7.0分)</w:t>
            </w:r>
            <w:r>
              <w:rPr/>
              <w:t>，（等次分值选择：</w:t>
            </w:r>
            <w:r>
              <w:rPr/>
              <w:t>0.0;</w:t>
            </w:r>
            <w:r>
              <w:rPr/>
              <w:t>1.0;</w:t>
            </w:r>
            <w:r>
              <w:rPr/>
              <w:t>4.0;</w:t>
            </w:r>
            <w:r>
              <w:rPr/>
              <w:t>7.0;</w:t>
            </w:r>
            <w:r>
              <w:rPr/>
              <w:t>）</w:t>
            </w:r>
          </w:p>
        </w:tc>
        <w:tc>
          <w:tcPr>
            <w:tcW w:type="dxa" w:w="5076"/>
          </w:tcPr>
          <w:p>
            <w:pPr>
              <w:jc w:val="left"/>
            </w:pPr>
            <w:r>
              <w:rPr/>
              <w:t>由磋商小组根据供应商提供的项目实施保障方案（内容包括但不限于质量保障措施、安全保障措施、服务期保障措施等）进行评审： （1）方案的可行性、合理性、完善性、针对性强，措施具体、科学，得7分； （2）方案具备一般可行性、合理性、完善性、针对性，措施合理，得4分； （3）方案的可行性、合理性、完善性、针对性较差，措施不明确，得1分； （4）无提供方案的不得分。</w:t>
            </w:r>
          </w:p>
        </w:tc>
      </w:tr>
      <w:tr>
        <w:tc>
          <w:tcPr>
            <w:tcW w:type="dxa" w:w="922"/>
            <w:gridSpan w:val="2"/>
            <w:vMerge/>
          </w:tcPr>
          <w:p/>
        </w:tc>
        <w:tc>
          <w:tcPr>
            <w:tcW w:type="dxa" w:w="2307"/>
          </w:tcPr>
          <w:p>
            <w:pPr>
              <w:jc w:val="left"/>
            </w:pPr>
            <w:r>
              <w:rPr/>
              <w:t>沟通协调方案 (7.0分)</w:t>
            </w:r>
            <w:r>
              <w:rPr/>
              <w:t>，（等次分值选择：</w:t>
            </w:r>
            <w:r>
              <w:rPr/>
              <w:t>0.0;</w:t>
            </w:r>
            <w:r>
              <w:rPr/>
              <w:t>1.0;</w:t>
            </w:r>
            <w:r>
              <w:rPr/>
              <w:t>4.0;</w:t>
            </w:r>
            <w:r>
              <w:rPr/>
              <w:t>7.0;</w:t>
            </w:r>
            <w:r>
              <w:rPr/>
              <w:t>）</w:t>
            </w:r>
          </w:p>
        </w:tc>
        <w:tc>
          <w:tcPr>
            <w:tcW w:type="dxa" w:w="5076"/>
          </w:tcPr>
          <w:p>
            <w:pPr>
              <w:jc w:val="left"/>
            </w:pPr>
            <w:r>
              <w:rPr/>
              <w:t>由磋商小组根据供应商提供的沟通协调方案进行评审： （1）沟通协调方案具体，对项目实施可能遇到的涉及村民关系的问题有周全的考虑，并提出针对性强、可行性高的沟通协调方法、措施及承诺，得7分； （2）沟通协调方案基本具体，对项目实施可能遇到的涉及村民关系的问题有一定的考虑，提出的沟通协调方法、措施及承诺的针对性一般，得4分； （3）沟通协调方案较笼统，对项目实施可能遇到的涉及村民关系的问题考虑不够周全，提出的沟通协调方法、措施及承诺欠缺针对性，得1分； （4）无提供方案的不得分。</w:t>
            </w:r>
          </w:p>
        </w:tc>
      </w:tr>
      <w:tr>
        <w:tc>
          <w:tcPr>
            <w:tcW w:type="dxa" w:w="922"/>
            <w:gridSpan w:val="2"/>
            <w:vMerge/>
          </w:tcPr>
          <w:p/>
        </w:tc>
        <w:tc>
          <w:tcPr>
            <w:tcW w:type="dxa" w:w="2307"/>
          </w:tcPr>
          <w:p>
            <w:pPr>
              <w:jc w:val="left"/>
            </w:pPr>
            <w:r>
              <w:rPr/>
              <w:t>后续服务方案 (5.0分)</w:t>
            </w:r>
            <w:r>
              <w:rPr/>
              <w:t>，（等次分值选择：</w:t>
            </w:r>
            <w:r>
              <w:rPr/>
              <w:t>0.0;</w:t>
            </w:r>
            <w:r>
              <w:rPr/>
              <w:t>1.0;</w:t>
            </w:r>
            <w:r>
              <w:rPr/>
              <w:t>3.0;</w:t>
            </w:r>
            <w:r>
              <w:rPr/>
              <w:t>5.0;</w:t>
            </w:r>
            <w:r>
              <w:rPr/>
              <w:t>）</w:t>
            </w:r>
          </w:p>
        </w:tc>
        <w:tc>
          <w:tcPr>
            <w:tcW w:type="dxa" w:w="5076"/>
          </w:tcPr>
          <w:p>
            <w:pPr>
              <w:jc w:val="left"/>
            </w:pPr>
            <w:r>
              <w:rPr/>
              <w:t>由磋商小组根据供应商提供的后续服务方案（内容包括但不限于后续服务内容、服务方式、服务承诺等）进行评审： （1）方案详尽，合理性、可行性高，服务承诺具体、可靠，得5分； （2）方案基本详尽、合理，可行性一般，有出具服务承诺，得3分； （3）方案过于简单，缺乏可行性，无出具服务承诺，得1分； （4）无提供方案的不得分。</w:t>
            </w:r>
          </w:p>
        </w:tc>
      </w:tr>
      <w:tr>
        <w:tc>
          <w:tcPr>
            <w:tcW w:type="dxa" w:w="922"/>
            <w:gridSpan w:val="2"/>
            <w:vMerge w:val="restart"/>
          </w:tcPr>
          <w:p>
            <w:pPr>
              <w:jc w:val="center"/>
            </w:pPr>
            <w:r>
              <w:rPr/>
              <w:t>商务部分</w:t>
            </w:r>
          </w:p>
        </w:tc>
        <w:tc>
          <w:tcPr>
            <w:tcW w:type="dxa" w:w="2307"/>
          </w:tcPr>
          <w:p>
            <w:pPr>
              <w:jc w:val="left"/>
            </w:pPr>
            <w:r>
              <w:rPr/>
              <w:t>同类项目业绩 (12.0分)</w:t>
            </w:r>
            <w:r>
              <w:rPr/>
              <w:t>，（等次分值选择：</w:t>
            </w:r>
            <w:r>
              <w:rPr/>
              <w:t>0.0;</w:t>
            </w:r>
            <w:r>
              <w:rPr/>
              <w:t>3.0;</w:t>
            </w:r>
            <w:r>
              <w:rPr/>
              <w:t>6.0;</w:t>
            </w:r>
            <w:r>
              <w:rPr/>
              <w:t>9.0;</w:t>
            </w:r>
            <w:r>
              <w:rPr/>
              <w:t>12.0;</w:t>
            </w:r>
            <w:r>
              <w:rPr/>
              <w:t>）</w:t>
            </w:r>
          </w:p>
        </w:tc>
        <w:tc>
          <w:tcPr>
            <w:tcW w:type="dxa" w:w="5076"/>
          </w:tcPr>
          <w:p>
            <w:pPr>
              <w:jc w:val="left"/>
            </w:pPr>
            <w:r>
              <w:rPr/>
              <w:t>供应商自2020年以来（以合同签订时间为准）承接过同类项目业绩（指包含矿区地质勘查、矿产资源储量核实报告编制、矿产资源开发利用方案编制其中一项（或以上）内容的项目）的：每提供1个得3分，本项最高得12分。 【备注：响应文件中须提供合同关键页复印件，不提供不得分。】</w:t>
            </w:r>
          </w:p>
        </w:tc>
      </w:tr>
      <w:tr>
        <w:tc>
          <w:tcPr>
            <w:tcW w:type="dxa" w:w="922"/>
            <w:gridSpan w:val="2"/>
            <w:vMerge/>
          </w:tcPr>
          <w:p/>
        </w:tc>
        <w:tc>
          <w:tcPr>
            <w:tcW w:type="dxa" w:w="2307"/>
          </w:tcPr>
          <w:p>
            <w:pPr>
              <w:jc w:val="left"/>
            </w:pPr>
            <w:r>
              <w:rPr/>
              <w:t>拟投入本项目的人员 (12.0分)</w:t>
            </w:r>
            <w:r>
              <w:rPr/>
              <w:t>，（等次分值选择：</w:t>
            </w:r>
            <w:r>
              <w:rPr/>
              <w:t>0.0;</w:t>
            </w:r>
            <w:r>
              <w:rPr/>
              <w:t>1.0;</w:t>
            </w:r>
            <w:r>
              <w:rPr/>
              <w:t>2.0;</w:t>
            </w:r>
            <w:r>
              <w:rPr/>
              <w:t>3.0;</w:t>
            </w:r>
            <w:r>
              <w:rPr/>
              <w:t>4.0;</w:t>
            </w:r>
            <w:r>
              <w:rPr/>
              <w:t>5.0;</w:t>
            </w:r>
            <w:r>
              <w:rPr/>
              <w:t>6.0;</w:t>
            </w:r>
            <w:r>
              <w:rPr/>
              <w:t>7.0;</w:t>
            </w:r>
            <w:r>
              <w:rPr/>
              <w:t>8.0;</w:t>
            </w:r>
            <w:r>
              <w:rPr/>
              <w:t>9.0;</w:t>
            </w:r>
            <w:r>
              <w:rPr/>
              <w:t>10.0;</w:t>
            </w:r>
            <w:r>
              <w:rPr/>
              <w:t>11.0;</w:t>
            </w:r>
            <w:r>
              <w:rPr/>
              <w:t>12.0;</w:t>
            </w:r>
            <w:r>
              <w:rPr/>
              <w:t>）</w:t>
            </w:r>
          </w:p>
        </w:tc>
        <w:tc>
          <w:tcPr>
            <w:tcW w:type="dxa" w:w="5076"/>
          </w:tcPr>
          <w:p>
            <w:pPr>
              <w:jc w:val="left"/>
            </w:pPr>
            <w:r>
              <w:rPr/>
              <w:t>1、项目负责人（1人）： 具备地质矿产勘查专业中级工程师或以上职称的：正高级得3分，副高级得2分，中级得1分，本小项最高得3分。 2、项目组成员（不含项目负责人）： （1）主要技术人员：具备地质矿产勘查专业或水工环地质专业高级工程师或以上职称的，每提供1人得2分，本小项最高得6分； （2）其他技术人员：具备地质矿产勘查专业或水工环地质专业中级工程师或以上职称的，每提供1人得1分，本小项最高得3分。 【备注：（1）同一人具备多个专业职称的只按一个职称计分，不累计得分；（2）响应文件中须提供以上人员相关职称证书及供应商为其购买的近三个月社保证明文件复印件，各项不提供相应证明材料的不得分。】</w:t>
            </w:r>
          </w:p>
        </w:tc>
      </w:tr>
      <w:tr>
        <w:tc>
          <w:tcPr>
            <w:tcW w:type="dxa" w:w="922"/>
            <w:gridSpan w:val="2"/>
            <w:vMerge/>
          </w:tcPr>
          <w:p/>
        </w:tc>
        <w:tc>
          <w:tcPr>
            <w:tcW w:type="dxa" w:w="2307"/>
          </w:tcPr>
          <w:p>
            <w:pPr>
              <w:jc w:val="left"/>
            </w:pPr>
            <w:r>
              <w:rPr/>
              <w:t>体系认证 (3.0分)</w:t>
            </w:r>
            <w:r>
              <w:rPr/>
              <w:t>，（等次分值选择：</w:t>
            </w:r>
            <w:r>
              <w:rPr/>
              <w:t>0.0;</w:t>
            </w:r>
            <w:r>
              <w:rPr/>
              <w:t>1.0;</w:t>
            </w:r>
            <w:r>
              <w:rPr/>
              <w:t>2.0;</w:t>
            </w:r>
            <w:r>
              <w:rPr/>
              <w:t>3.0;</w:t>
            </w:r>
            <w:r>
              <w:rPr/>
              <w:t>）</w:t>
            </w:r>
          </w:p>
        </w:tc>
        <w:tc>
          <w:tcPr>
            <w:tcW w:type="dxa" w:w="5076"/>
          </w:tcPr>
          <w:p>
            <w:pPr>
              <w:jc w:val="left"/>
            </w:pPr>
            <w:r>
              <w:rPr/>
              <w:t>供应商具有质量管理体系认证证书、环境管理体系认证证书、职业健康安全管理体系认证证书的：每提供1个得1分，本项最高得3分。 【备注：响应文件中须提供有效的认证证书复印件，不提供不得分。】</w:t>
            </w:r>
          </w:p>
        </w:tc>
      </w:tr>
      <w:tr>
        <w:tc>
          <w:tcPr>
            <w:tcW w:type="dxa" w:w="922"/>
            <w:gridSpan w:val="2"/>
            <w:vMerge/>
          </w:tcPr>
          <w:p/>
        </w:tc>
        <w:tc>
          <w:tcPr>
            <w:tcW w:type="dxa" w:w="2307"/>
          </w:tcPr>
          <w:p>
            <w:pPr>
              <w:jc w:val="left"/>
            </w:pPr>
            <w:r>
              <w:rPr/>
              <w:t>获奖荣誉 (8.0分)</w:t>
            </w:r>
            <w:r>
              <w:rPr/>
              <w:t>，（等次分值选择：</w:t>
            </w:r>
            <w:r>
              <w:rPr/>
              <w:t>0.0;</w:t>
            </w:r>
            <w:r>
              <w:rPr/>
              <w:t>2.0;</w:t>
            </w:r>
            <w:r>
              <w:rPr/>
              <w:t>4.0;</w:t>
            </w:r>
            <w:r>
              <w:rPr/>
              <w:t>6.0;</w:t>
            </w:r>
            <w:r>
              <w:rPr/>
              <w:t>8.0;</w:t>
            </w:r>
            <w:r>
              <w:rPr/>
              <w:t>）</w:t>
            </w:r>
          </w:p>
        </w:tc>
        <w:tc>
          <w:tcPr>
            <w:tcW w:type="dxa" w:w="5076"/>
          </w:tcPr>
          <w:p>
            <w:pPr>
              <w:jc w:val="left"/>
            </w:pPr>
            <w:r>
              <w:rPr/>
              <w:t>供应商完成的矿产资源勘查类项目自2020年以来获得省级或以上政府部门或受其监督指导的同级行业协会（学会）颁发的科学技术类奖项的：每提供1个得2分，本项最高得8分。 【备注：（1）同一项目获多个单位颁奖的，只计一次获奖得分，不累计得分；（2）响应文件中须提供获奖证书复印件，获奖时间以获奖证书颁发时间为准，不提供不得分。】</w:t>
            </w:r>
          </w:p>
        </w:tc>
      </w:tr>
      <w:tr>
        <w:tc>
          <w:tcPr>
            <w:tcW w:type="dxa" w:w="922"/>
            <w:gridSpan w:val="2"/>
            <w:vMerge/>
          </w:tcPr>
          <w:p/>
        </w:tc>
        <w:tc>
          <w:tcPr>
            <w:tcW w:type="dxa" w:w="2307"/>
          </w:tcPr>
          <w:p>
            <w:pPr>
              <w:jc w:val="left"/>
            </w:pPr>
            <w:r>
              <w:rPr/>
              <w:t>服务便利性 (5.0分)</w:t>
            </w:r>
            <w:r>
              <w:rPr/>
              <w:t>，（等次分值选择：</w:t>
            </w:r>
            <w:r>
              <w:rPr/>
              <w:t>0.0;</w:t>
            </w:r>
            <w:r>
              <w:rPr/>
              <w:t>1.0;</w:t>
            </w:r>
            <w:r>
              <w:rPr/>
              <w:t>3.0;</w:t>
            </w:r>
            <w:r>
              <w:rPr/>
              <w:t>5.0;</w:t>
            </w:r>
            <w:r>
              <w:rPr/>
              <w:t>）</w:t>
            </w:r>
          </w:p>
        </w:tc>
        <w:tc>
          <w:tcPr>
            <w:tcW w:type="dxa" w:w="5076"/>
          </w:tcPr>
          <w:p>
            <w:pPr>
              <w:jc w:val="left"/>
            </w:pPr>
            <w:r>
              <w:rPr/>
              <w:t>为保证服务响应时效，由磋商小组对供应商服务机构的便利性进行评审： （1）距离≤60公里的，得5分； （2）60公里＜距离≤160公里的，得3分； （3）160公里＜距离≤260公里的，得1分； （4）距离＞260公里的，不得分。 【备注：以供应商服务机构证照地址到新兴县车岗镇四村盆古坑的距离为准，响应文件中须同时提供服务机构证照复印件和百度地图距离查询截图，不提供不得分。】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r>
        <w:rPr>
          <w:b/>
          <w:sz w:val="21"/>
        </w:rPr>
        <w:t>本合同仅为合同的参考文本，合同签订双方应按照磋商文件的要求和响应文件的承诺进行修订。</w:t>
      </w:r>
    </w:p>
    <w:p>
      <w:pPr>
        <w:jc w:val="center"/>
      </w:pPr>
    </w:p>
    <w:p>
      <w:pPr>
        <w:jc w:val="center"/>
      </w:pPr>
    </w:p>
    <w:p>
      <w:pPr>
        <w:jc w:val="both"/>
      </w:pPr>
    </w:p>
    <w:p>
      <w:pPr>
        <w:jc w:val="center"/>
      </w:pPr>
    </w:p>
    <w:p>
      <w:pPr>
        <w:jc w:val="center"/>
      </w:pPr>
      <w:r>
        <w:rPr>
          <w:b/>
          <w:sz w:val="84"/>
        </w:rPr>
        <w:t>政府采购项目</w:t>
      </w:r>
    </w:p>
    <w:p/>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Pr>
        <w:jc w:val="both"/>
      </w:pPr>
    </w:p>
    <w:p/>
    <w:p>
      <w:pPr>
        <w:ind w:firstLine="281"/>
      </w:pPr>
      <w:r>
        <w:rPr>
          <w:b/>
          <w:sz w:val="28"/>
        </w:rPr>
        <w:t>项目名称：</w:t>
      </w:r>
      <w:r>
        <w:rPr>
          <w:b/>
          <w:sz w:val="21"/>
          <w:u w:val="single"/>
        </w:rPr>
        <w:t xml:space="preserve">                          </w:t>
      </w:r>
    </w:p>
    <w:p>
      <w:pPr>
        <w:ind w:firstLine="281"/>
      </w:pPr>
      <w:r>
        <w:rPr>
          <w:b/>
          <w:sz w:val="28"/>
        </w:rPr>
        <w:t>合同编号：</w:t>
      </w:r>
      <w:r>
        <w:rPr>
          <w:b/>
          <w:sz w:val="21"/>
          <w:u w:val="single"/>
        </w:rPr>
        <w:t xml:space="preserve">                          </w:t>
      </w:r>
    </w:p>
    <w:p>
      <w:pPr>
        <w:ind w:firstLine="281"/>
      </w:pPr>
      <w:r>
        <w:rPr>
          <w:b/>
          <w:sz w:val="28"/>
        </w:rPr>
        <w:t>签约地点：</w:t>
      </w:r>
      <w:r>
        <w:rPr>
          <w:b/>
          <w:sz w:val="21"/>
          <w:u w:val="single"/>
        </w:rPr>
        <w:t xml:space="preserve">                          </w:t>
      </w:r>
    </w:p>
    <w:p>
      <w:pPr>
        <w:ind w:firstLine="281"/>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Pr>
        <w:jc w:val="center"/>
      </w:pPr>
    </w:p>
    <w:p/>
    <w:p/>
    <w:p>
      <w:pPr>
        <w:pBdr>
          <w:bottom w:val="single" w:sz="12" w:space="1"/>
        </w:pBdr>
      </w:pPr>
    </w:p>
    <w:p>
      <w:r>
        <w:rPr>
          <w:b/>
          <w:sz w:val="21"/>
        </w:rPr>
        <w:t>甲</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w:t>
      </w:r>
      <w:r>
        <w:rPr>
          <w:sz w:val="21"/>
        </w:rPr>
        <w:t>中华人民共和国</w:t>
      </w:r>
      <w:r>
        <w:rPr>
          <w:sz w:val="21"/>
        </w:rPr>
        <w:t>民法典》的规定，</w:t>
      </w:r>
      <w:r>
        <w:rPr>
          <w:sz w:val="21"/>
        </w:rPr>
        <w:t>经双方协商，</w:t>
      </w:r>
      <w:r>
        <w:rPr>
          <w:sz w:val="21"/>
        </w:rPr>
        <w:t>本着平等互利和诚实信用的原则，</w:t>
      </w:r>
      <w:r>
        <w:rPr>
          <w:sz w:val="21"/>
        </w:rPr>
        <w:t>一致同意签订本合同如下</w:t>
      </w:r>
      <w:r>
        <w:rPr>
          <w:sz w:val="21"/>
        </w:rPr>
        <w:t>。</w:t>
      </w:r>
    </w:p>
    <w:p>
      <w:pPr>
        <w:jc w:val="both"/>
      </w:pPr>
      <w:r>
        <w:rPr>
          <w:b/>
          <w:sz w:val="21"/>
        </w:rPr>
        <w:t>一、</w:t>
      </w:r>
      <w:r>
        <w:rPr>
          <w:b/>
          <w:sz w:val="21"/>
        </w:rPr>
        <w:t>合同金额</w:t>
      </w:r>
    </w:p>
    <w:p>
      <w:pPr>
        <w:ind w:firstLine="420"/>
        <w:jc w:val="left"/>
      </w:pPr>
      <w:r>
        <w:rPr>
          <w:sz w:val="21"/>
        </w:rPr>
        <w:t>合同金额为人民币</w:t>
      </w:r>
      <w:r>
        <w:rPr>
          <w:sz w:val="21"/>
        </w:rPr>
        <w:t>：</w:t>
      </w:r>
      <w:r>
        <w:rPr>
          <w:sz w:val="21"/>
          <w:u w:val="single"/>
        </w:rPr>
        <w:t xml:space="preserve">                      </w:t>
      </w:r>
      <w:r>
        <w:rPr>
          <w:sz w:val="21"/>
        </w:rPr>
        <w:t>（</w:t>
      </w:r>
      <w:r>
        <w:rPr>
          <w:sz w:val="21"/>
        </w:rPr>
        <w:t>¥</w:t>
      </w:r>
      <w:r>
        <w:rPr>
          <w:sz w:val="21"/>
          <w:u w:val="single"/>
        </w:rPr>
        <w:t xml:space="preserve">            </w:t>
      </w:r>
      <w:r>
        <w:rPr>
          <w:sz w:val="21"/>
        </w:rPr>
        <w:t>）。</w:t>
      </w:r>
    </w:p>
    <w:p>
      <w:pPr>
        <w:jc w:val="both"/>
      </w:pPr>
      <w:r>
        <w:rPr>
          <w:b/>
          <w:sz w:val="21"/>
        </w:rPr>
        <w:t>二、服务</w:t>
      </w:r>
      <w:r>
        <w:rPr>
          <w:b/>
          <w:sz w:val="21"/>
        </w:rPr>
        <w:t>范围</w:t>
      </w:r>
    </w:p>
    <w:p>
      <w:r>
        <w:rPr>
          <w:sz w:val="21"/>
        </w:rPr>
        <w:t>1、本合同项下的服务指</w:t>
      </w:r>
      <w:r>
        <w:rPr>
          <w:sz w:val="21"/>
          <w:u w:val="single"/>
        </w:rPr>
        <w:t xml:space="preserve">                            </w:t>
      </w:r>
      <w:r>
        <w:rPr>
          <w:sz w:val="21"/>
        </w:rPr>
        <w:t>。</w:t>
      </w:r>
    </w:p>
    <w:p>
      <w:r>
        <w:rPr>
          <w:sz w:val="21"/>
        </w:rPr>
        <w:t>2、</w:t>
      </w:r>
      <w:r>
        <w:rPr>
          <w:sz w:val="21"/>
        </w:rPr>
        <w:t>……</w:t>
      </w:r>
    </w:p>
    <w:p>
      <w:r>
        <w:rPr>
          <w:sz w:val="21"/>
        </w:rPr>
        <w:t>3、</w:t>
      </w:r>
      <w:r>
        <w:rPr>
          <w:sz w:val="21"/>
        </w:rPr>
        <w:t>……</w:t>
      </w:r>
    </w:p>
    <w:p>
      <w:pPr>
        <w:jc w:val="both"/>
      </w:pPr>
      <w:r>
        <w:rPr>
          <w:b/>
          <w:sz w:val="21"/>
        </w:rPr>
        <w:t>三、履行期限、地点和方式</w:t>
      </w:r>
    </w:p>
    <w:p>
      <w:pPr>
        <w:ind w:firstLine="435"/>
      </w:pPr>
      <w:r>
        <w:rPr>
          <w:sz w:val="21"/>
        </w:rPr>
        <w:t>……</w:t>
      </w:r>
    </w:p>
    <w:p>
      <w:pPr>
        <w:jc w:val="both"/>
      </w:pPr>
      <w:r>
        <w:rPr>
          <w:b/>
          <w:sz w:val="21"/>
        </w:rPr>
        <w:t>四、</w:t>
      </w:r>
      <w:r>
        <w:rPr>
          <w:b/>
          <w:sz w:val="21"/>
        </w:rPr>
        <w:t>服务要求</w:t>
      </w:r>
    </w:p>
    <w:p>
      <w:pPr>
        <w:ind w:firstLine="435"/>
      </w:pPr>
      <w:r>
        <w:rPr>
          <w:sz w:val="21"/>
        </w:rPr>
        <w:t>……</w:t>
      </w:r>
    </w:p>
    <w:p>
      <w:pPr>
        <w:jc w:val="both"/>
      </w:pPr>
      <w:r>
        <w:rPr>
          <w:b/>
          <w:sz w:val="21"/>
        </w:rPr>
        <w:t>五、验收要求</w:t>
      </w:r>
    </w:p>
    <w:p>
      <w:pPr>
        <w:ind w:firstLine="435"/>
      </w:pPr>
      <w:r>
        <w:rPr>
          <w:sz w:val="21"/>
        </w:rPr>
        <w:t>……</w:t>
      </w:r>
    </w:p>
    <w:p>
      <w:pPr>
        <w:jc w:val="both"/>
      </w:pPr>
      <w:r>
        <w:rPr>
          <w:b/>
          <w:sz w:val="21"/>
        </w:rPr>
        <w:t>六、付款方式</w:t>
      </w:r>
    </w:p>
    <w:p>
      <w:pPr>
        <w:ind w:firstLine="435"/>
      </w:pPr>
      <w:r>
        <w:rPr>
          <w:sz w:val="21"/>
        </w:rPr>
        <w:t>……</w:t>
      </w:r>
    </w:p>
    <w:p>
      <w:r>
        <w:rPr>
          <w:sz w:val="21"/>
        </w:rPr>
        <w:t>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1"/>
        </w:rPr>
        <w:t>七、其他商务要求（如有）</w:t>
      </w:r>
    </w:p>
    <w:p>
      <w:pPr>
        <w:ind w:firstLine="420"/>
        <w:jc w:val="both"/>
      </w:pPr>
      <w:r>
        <w:rPr>
          <w:sz w:val="21"/>
        </w:rPr>
        <w:t>……</w:t>
      </w:r>
    </w:p>
    <w:p>
      <w:pPr>
        <w:jc w:val="both"/>
      </w:pPr>
      <w:r>
        <w:rPr>
          <w:b/>
          <w:sz w:val="21"/>
        </w:rPr>
        <w:t>八、甲乙双方的权利和义务</w:t>
      </w:r>
    </w:p>
    <w:p>
      <w:r>
        <w:rPr>
          <w:sz w:val="21"/>
        </w:rPr>
        <w:t>1、</w:t>
      </w:r>
      <w:r>
        <w:rPr>
          <w:sz w:val="21"/>
        </w:rPr>
        <w:t>甲方的权利和义务</w:t>
      </w:r>
    </w:p>
    <w:p>
      <w:pPr>
        <w:ind w:firstLine="420"/>
      </w:pPr>
      <w:r>
        <w:rPr>
          <w:sz w:val="21"/>
        </w:rPr>
        <w:t>……</w:t>
      </w:r>
    </w:p>
    <w:p>
      <w:r>
        <w:rPr>
          <w:sz w:val="21"/>
        </w:rPr>
        <w:t>2、</w:t>
      </w:r>
      <w:r>
        <w:rPr>
          <w:sz w:val="21"/>
        </w:rPr>
        <w:t>乙方的权利和义务</w:t>
      </w:r>
    </w:p>
    <w:p>
      <w:pPr>
        <w:ind w:firstLine="420"/>
      </w:pPr>
      <w:r>
        <w:rPr>
          <w:sz w:val="21"/>
        </w:rPr>
        <w:t>……</w:t>
      </w:r>
    </w:p>
    <w:p>
      <w:r>
        <w:rPr>
          <w:b/>
          <w:sz w:val="21"/>
        </w:rPr>
        <w:t>九、违约责任</w:t>
      </w:r>
    </w:p>
    <w:p>
      <w:pPr>
        <w:ind w:firstLine="420"/>
      </w:pPr>
      <w:r>
        <w:rPr>
          <w:sz w:val="21"/>
        </w:rPr>
        <w:t>……</w:t>
      </w:r>
    </w:p>
    <w:p>
      <w:r>
        <w:rPr>
          <w:b/>
          <w:sz w:val="21"/>
        </w:rPr>
        <w:t>十、其他条款（如有需要，甲乙双方可根据实际增加合同条款）</w:t>
      </w:r>
    </w:p>
    <w:p>
      <w:pPr>
        <w:ind w:firstLine="420"/>
      </w:pPr>
      <w:r>
        <w:rPr>
          <w:sz w:val="21"/>
        </w:rPr>
        <w:t>……</w:t>
      </w:r>
    </w:p>
    <w:p>
      <w:r>
        <w:rPr>
          <w:b/>
          <w:sz w:val="21"/>
        </w:rPr>
        <w:t>十一、合同变更</w:t>
      </w:r>
    </w:p>
    <w:p>
      <w:r>
        <w:rPr>
          <w:sz w:val="21"/>
        </w:rPr>
        <w:t>1、乙方根据现场实际情况，发现合同原计划或方案不尽合理，确实需变更原合同约定的，应及时通知甲方，并提出变更理由、修正方案及变更清单，经双方协商并签署有关文件（作为合同附件），并报政府采购监管部门同意后实施。</w:t>
      </w:r>
    </w:p>
    <w:p>
      <w:r>
        <w:rPr>
          <w:sz w:val="21"/>
        </w:rPr>
        <w:t>2、无论是按原合同要求，或是根据现场实际情况作出变更，乙方都不能免除其应承担的责任。</w:t>
      </w:r>
    </w:p>
    <w:p>
      <w:r>
        <w:rPr>
          <w:b/>
          <w:sz w:val="21"/>
        </w:rPr>
        <w:t>十二、合同解除和终止</w:t>
      </w:r>
    </w:p>
    <w:p>
      <w:r>
        <w:rPr>
          <w:sz w:val="21"/>
        </w:rPr>
        <w:t>1、合同自然终止</w:t>
      </w:r>
    </w:p>
    <w:p>
      <w:pPr>
        <w:ind w:firstLine="525"/>
      </w:pPr>
      <w:r>
        <w:rPr>
          <w:sz w:val="21"/>
        </w:rPr>
        <w:t>甲乙双方各自完成合同规定的责任和义务，合同自然终止。</w:t>
      </w:r>
    </w:p>
    <w:p>
      <w:r>
        <w:rPr>
          <w:sz w:val="21"/>
        </w:rPr>
        <w:t>2、违约违规终止合同</w:t>
      </w:r>
    </w:p>
    <w:p>
      <w:r>
        <w:rPr>
          <w:sz w:val="21"/>
        </w:rPr>
        <w:t>（</w:t>
      </w:r>
      <w:r>
        <w:rPr>
          <w:sz w:val="21"/>
        </w:rPr>
        <w:t>1）在甲方对乙方违约违规而采取的任何补救措施不受影响的情况下，甲方可向乙方发出书面的违约通知书，提出终止部分或全部合同。</w:t>
      </w:r>
    </w:p>
    <w:p>
      <w:r>
        <w:rPr>
          <w:sz w:val="21"/>
        </w:rPr>
        <w:t>（</w:t>
      </w:r>
      <w:r>
        <w:rPr>
          <w:sz w:val="21"/>
        </w:rPr>
        <w:t>2）如果乙方未能在合同规定的期限内提供服务。</w:t>
      </w:r>
    </w:p>
    <w:p>
      <w:r>
        <w:rPr>
          <w:sz w:val="21"/>
        </w:rPr>
        <w:t>（</w:t>
      </w:r>
      <w:r>
        <w:rPr>
          <w:sz w:val="21"/>
        </w:rPr>
        <w:t>3）如果乙方未能履行合同规定的其它任何义务。</w:t>
      </w:r>
    </w:p>
    <w:p>
      <w:r>
        <w:rPr>
          <w:sz w:val="21"/>
        </w:rPr>
        <w:t>（</w:t>
      </w:r>
      <w:r>
        <w:rPr>
          <w:sz w:val="21"/>
        </w:rPr>
        <w:t>4）如果甲方认为乙方在本合同的投标竞争和实施过程中有违反有关政府采购的法律、法规，涉嫌用不正当手段影响甲方采购过程，包括谎报或隐瞒事实、损害甲方利益、干扰甲方、评委、采购代理机构的招标、评标等行为。</w:t>
      </w:r>
    </w:p>
    <w:p>
      <w:r>
        <w:rPr>
          <w:sz w:val="21"/>
        </w:rPr>
        <w:t>3、因乙方破产而终止合同</w:t>
      </w:r>
    </w:p>
    <w:p>
      <w:pPr>
        <w:ind w:firstLine="420"/>
      </w:pPr>
      <w:r>
        <w:rPr>
          <w:sz w:val="21"/>
        </w:rPr>
        <w:t>如果乙方破产或无清偿能力，甲方可在任何时候以书面形式通知乙方，提出终止合同而不给乙方补偿。该合同的终止将不损害或影响甲方已经采取或将要采取的任何行动或补救措施的权利。</w:t>
      </w:r>
    </w:p>
    <w:p>
      <w:r>
        <w:rPr>
          <w:b/>
          <w:sz w:val="21"/>
        </w:rPr>
        <w:t>十三、争议的解决</w:t>
      </w:r>
    </w:p>
    <w:p>
      <w:pPr>
        <w:ind w:firstLine="420"/>
      </w:pPr>
      <w:r>
        <w:rPr>
          <w:sz w:val="21"/>
        </w:rPr>
        <w:t>合同执行过程中发生的任何争议，如双方不能通过友好协商解决，按相关法律法规处理。</w:t>
      </w:r>
    </w:p>
    <w:p>
      <w:r>
        <w:rPr>
          <w:b/>
          <w:sz w:val="21"/>
        </w:rPr>
        <w:t>十四、不可抗力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1日内向对方通报，以减轻可能给对方造成的损失，在取得有关机构的不可抗力证明或对方谅解确认后，允许延期履行或修订合同，并根据情况可部分或全部免于承担违约责任。</w:t>
      </w:r>
    </w:p>
    <w:p>
      <w:r>
        <w:rPr>
          <w:b/>
          <w:sz w:val="21"/>
        </w:rPr>
        <w:t>十五、税费</w:t>
      </w:r>
    </w:p>
    <w:p>
      <w:pPr>
        <w:ind w:firstLine="411"/>
      </w:pPr>
      <w:r>
        <w:rPr>
          <w:sz w:val="21"/>
        </w:rPr>
        <w:t>在中国境内、外发生的与本合同执行有关的一切税费均由乙方负担。</w:t>
      </w:r>
    </w:p>
    <w:p>
      <w:r>
        <w:rPr>
          <w:b/>
          <w:sz w:val="21"/>
        </w:rPr>
        <w:t>十六、其它</w:t>
      </w:r>
    </w:p>
    <w:p>
      <w:pPr>
        <w:jc w:val="both"/>
      </w:pPr>
      <w:r>
        <w:rPr>
          <w:sz w:val="21"/>
        </w:rPr>
        <w:t>1、本项目磋商文件、响应文件、成交通知书及本合同所有附件均为合同的有效组成部分，与本合同具有同等法律效力。</w:t>
      </w:r>
    </w:p>
    <w:p>
      <w:pPr>
        <w:jc w:val="both"/>
      </w:pPr>
      <w:r>
        <w:rPr>
          <w:sz w:val="21"/>
        </w:rPr>
        <w:t>2、在执行本合同的过程中，所有经双方签署确认的文件（包括会议纪要、补充协议、往来信函）即成为本合同的有效组成部分。</w:t>
      </w:r>
    </w:p>
    <w:p>
      <w:pPr>
        <w:jc w:val="both"/>
      </w:pPr>
      <w:r>
        <w:rPr>
          <w:sz w:val="21"/>
        </w:rPr>
        <w:t>3、如一方地址、电话、传真号码有变更，应在变更当日内书面通知对方，否则，应承担相应责任。</w:t>
      </w:r>
    </w:p>
    <w:p>
      <w:pPr>
        <w:jc w:val="both"/>
      </w:pPr>
      <w:r>
        <w:rPr>
          <w:sz w:val="21"/>
        </w:rPr>
        <w:t>4、除甲方事先书面同意外，乙方不得部分或全部转让其应履行的合同项下的义务。</w:t>
      </w:r>
    </w:p>
    <w:p>
      <w:r>
        <w:rPr>
          <w:b/>
          <w:sz w:val="21"/>
        </w:rPr>
        <w:t>十七、合同生效</w:t>
      </w:r>
    </w:p>
    <w:p>
      <w:pPr>
        <w:jc w:val="both"/>
      </w:pPr>
      <w:r>
        <w:rPr>
          <w:sz w:val="21"/>
        </w:rPr>
        <w:t>1、本合同在甲乙双方法定代表人或其授权代表签字盖章后生效，合同签署日期以较迟签注的日期为准。</w:t>
      </w:r>
    </w:p>
    <w:p>
      <w:pPr>
        <w:jc w:val="both"/>
      </w:pPr>
      <w:r>
        <w:rPr>
          <w:sz w:val="21"/>
        </w:rPr>
        <w:t>2、本合同一式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1</w:t>
      </w:r>
      <w:r>
        <w:rPr>
          <w:sz w:val="21"/>
        </w:rPr>
        <w:t>份。</w:t>
      </w:r>
    </w:p>
    <w:p>
      <w:pPr>
        <w:jc w:val="both"/>
      </w:pPr>
    </w:p>
    <w:p>
      <w:pPr>
        <w:jc w:val="both"/>
      </w:pPr>
    </w:p>
    <w:p>
      <w:r>
        <w:rPr>
          <w:b/>
          <w:sz w:val="21"/>
        </w:rPr>
        <w:t>甲方（盖章）：</w:t>
      </w:r>
      <w:r>
        <w:rPr>
          <w:b/>
          <w:sz w:val="21"/>
        </w:rPr>
        <w:t xml:space="preserve">                  </w:t>
      </w:r>
      <w:r>
        <w:rPr>
          <w:b/>
          <w:sz w:val="21"/>
        </w:rPr>
        <w:t>乙方（盖章）：</w:t>
      </w:r>
    </w:p>
    <w:p>
      <w:r>
        <w:rPr>
          <w:b/>
          <w:sz w:val="21"/>
        </w:rPr>
        <w:t>法定代表人或委托人：</w:t>
      </w:r>
      <w:r>
        <w:rPr>
          <w:b/>
          <w:sz w:val="21"/>
        </w:rPr>
        <w:t xml:space="preserve">                       </w:t>
      </w:r>
      <w:r>
        <w:rPr>
          <w:b/>
          <w:sz w:val="21"/>
        </w:rPr>
        <w:t xml:space="preserve"> </w:t>
      </w:r>
      <w:r>
        <w:rPr>
          <w:b/>
          <w:sz w:val="21"/>
        </w:rPr>
        <w:t>法定代表人或委托人：</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445321-2024-00040</w:t>
      </w:r>
    </w:p>
    <w:p>
      <w:pPr>
        <w:jc w:val="center"/>
      </w:pPr>
      <w:r>
        <w:rPr>
          <w:b/>
          <w:sz w:val="24"/>
        </w:rPr>
        <w:t>采购项目编号：</w:t>
      </w:r>
      <w:r>
        <w:rPr>
          <w:b/>
          <w:sz w:val="24"/>
        </w:rPr>
        <w:t>YFZC24FC0002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广东省云浮市新兴县车岗镇四村盆古坑矿区建筑用花岗岩矿矿产资源储量核实报告和开发利用方案编制工作</w:t>
      </w:r>
      <w:r>
        <w:rPr>
          <w:u w:val="single"/>
        </w:rPr>
        <w:t>”</w:t>
      </w:r>
      <w:r>
        <w:rPr/>
        <w:t>项目的竞争性磋商[采购项目编号为：</w:t>
      </w:r>
      <w:r>
        <w:rPr>
          <w:u w:val="single"/>
        </w:rPr>
        <w:t>YFZC24FC0002</w:t>
      </w:r>
      <w:r>
        <w:rPr/>
        <w:t>]，我方愿参与响应。</w:t>
      </w:r>
    </w:p>
    <w:p>
      <w:pPr>
        <w:ind w:firstLine="480"/>
      </w:pPr>
      <w:r>
        <w:rPr/>
        <w:t>我方确认收到贵方提供的</w:t>
      </w:r>
      <w:r>
        <w:rPr>
          <w:u w:val="single"/>
        </w:rPr>
        <w:t>“</w:t>
      </w:r>
      <w:r>
        <w:rPr>
          <w:u w:val="single"/>
        </w:rPr>
        <w:t>广东省云浮市新兴县车岗镇四村盆古坑矿区建筑用花岗岩矿矿产资源储量核实报告和开发利用方案编制工作</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（十五）我方对在本函及响应文件中所作的所有承诺承担法律责任。</w:t>
      </w:r>
    </w:p>
    <w:p>
      <w:pPr>
        <w:ind w:firstLine="480"/>
      </w:pPr>
      <w:r>
        <w:rPr/>
        <w:t>（十六）所有与本磋商有关的函件请发往下列地址：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广东省云浮市新兴县车岗镇四村盆古坑矿区建筑用花岗岩矿矿产资源储量核实报告和开发利用方案编制工作</w:t>
      </w:r>
      <w:r>
        <w:rPr/>
        <w:t>”项目采购[采购项目编号为</w:t>
      </w:r>
      <w:r>
        <w:rPr/>
        <w:t>YFZC24FC0002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广东省云浮市新兴县车岗镇四村盆古坑矿区建筑用花岗岩矿矿产资源储量核实报告和开发利用方案编制工作</w:t>
      </w:r>
      <w:r>
        <w:rPr/>
        <w:t>（采购项目编号：</w:t>
      </w:r>
      <w:r>
        <w:rPr/>
        <w:t>YFZC24FC0002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广东省云浮市新兴县车岗镇四村盆古坑矿区建筑用花岗岩矿矿产资源储量核实报告和开发利用方案编制工作</w:t>
      </w:r>
      <w:r>
        <w:rPr/>
        <w:t>”项目（采购项目编号：</w:t>
      </w:r>
      <w:r>
        <w:rPr/>
        <w:t>YFZC24FC0002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