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445321-2023-01103</w:t>
      </w:r>
    </w:p>
    <w:p>
      <w:pPr>
        <w:jc w:val="center"/>
      </w:pPr>
      <w:r>
        <w:rPr>
          <w:b/>
          <w:sz w:val="24"/>
        </w:rPr>
        <w:t>采购项目编号：</w:t>
      </w:r>
      <w:r>
        <w:rPr>
          <w:b/>
          <w:sz w:val="24"/>
        </w:rPr>
        <w:t>YFZC23FC0123</w:t>
      </w:r>
    </w:p>
    <w:p>
      <w:pPr>
        <w:jc w:val="center"/>
      </w:pPr>
      <w:r>
        <w:rPr>
          <w:b/>
          <w:sz w:val="24"/>
        </w:rPr>
        <w:t>项目名称：</w:t>
      </w:r>
      <w:r>
        <w:rPr>
          <w:b/>
          <w:sz w:val="24"/>
        </w:rPr>
        <w:t>新兴县2023年度自然资源常态化监测、2023年度全国国土变更调查工作、2023年度卫片执法技术服务和2023年度耕地卫片监督项目</w:t>
      </w:r>
    </w:p>
    <w:p>
      <w:pPr>
        <w:jc w:val="center"/>
      </w:pPr>
      <w:r>
        <w:rPr>
          <w:b/>
          <w:sz w:val="24"/>
        </w:rPr>
        <w:t>采购人：</w:t>
      </w:r>
      <w:r>
        <w:rPr>
          <w:b/>
          <w:sz w:val="24"/>
        </w:rPr>
        <w:t>新兴县自然资源局</w:t>
      </w:r>
    </w:p>
    <w:p>
      <w:pPr>
        <w:jc w:val="center"/>
      </w:pPr>
      <w:r>
        <w:rPr>
          <w:b/>
          <w:sz w:val="24"/>
        </w:rPr>
        <w:t>采购代理机构：</w:t>
      </w:r>
      <w:r>
        <w:rPr>
          <w:b/>
          <w:sz w:val="24"/>
        </w:rPr>
        <w:t>云浮市中策招标咨询服务有限公司</w:t>
      </w:r>
    </w:p>
    <w:p>
      <w:pPr>
        <w:ind w:firstLine="480"/>
      </w:pPr>
    </w:p>
    <w:p>
      <w:r>
        <w:rPr/>
        <w:t xml:space="preserve"> </w:t>
      </w:r>
    </w:p>
    <w:p/>
    <w:p>
      <w:pPr>
        <w:jc w:val="center"/>
      </w:pPr>
      <w:r>
        <w:rPr>
          <w:b/>
          <w:sz w:val="36"/>
        </w:rPr>
        <w:t>第一章 磋商邀请</w:t>
      </w:r>
    </w:p>
    <w:p>
      <w:pPr>
        <w:ind w:firstLine="480"/>
      </w:pPr>
      <w:r>
        <w:rPr/>
        <w:t>云浮市中策招标咨询服务有限公司</w:t>
      </w:r>
      <w:r>
        <w:rPr/>
        <w:t>受</w:t>
      </w:r>
      <w:r>
        <w:rPr/>
        <w:t>新兴县自然资源局</w:t>
      </w:r>
      <w:r>
        <w:rPr/>
        <w:t>的委托，采用</w:t>
      </w:r>
      <w:r>
        <w:rPr/>
        <w:t>竞争性磋商</w:t>
      </w:r>
      <w:r>
        <w:rPr/>
        <w:t>方式组织采购</w:t>
      </w:r>
      <w:r>
        <w:rPr/>
        <w:t>新兴县2023年度自然资源常态化监测、2023年度全国国土变更调查工作、2023年度卫片执法技术服务和2023年度耕地卫片监督项目</w:t>
      </w:r>
      <w:r>
        <w:rPr/>
        <w:t>。欢迎符合资格条件的供应商参加。</w:t>
      </w:r>
    </w:p>
    <w:p>
      <w:r>
        <w:rPr>
          <w:b/>
          <w:sz w:val="28"/>
        </w:rPr>
        <w:t>一.项目概述</w:t>
      </w:r>
    </w:p>
    <w:p>
      <w:r>
        <w:rPr>
          <w:b/>
          <w:sz w:val="24"/>
        </w:rPr>
        <w:t>1.名称与编号</w:t>
      </w:r>
    </w:p>
    <w:p>
      <w:pPr>
        <w:ind w:firstLine="480"/>
      </w:pPr>
      <w:r>
        <w:rPr/>
        <w:t>采购项目名称：</w:t>
      </w:r>
      <w:r>
        <w:rPr/>
        <w:t>新兴县2023年度自然资源常态化监测、2023年度全国国土变更调查工作、2023年度卫片执法技术服务和2023年度耕地卫片监督项目</w:t>
      </w:r>
    </w:p>
    <w:p>
      <w:pPr>
        <w:ind w:firstLine="480"/>
      </w:pPr>
      <w:r>
        <w:rPr/>
        <w:t>采购计划编号：</w:t>
      </w:r>
      <w:r>
        <w:rPr/>
        <w:t>445321-2023-01103</w:t>
      </w:r>
    </w:p>
    <w:p>
      <w:pPr>
        <w:ind w:firstLine="480"/>
      </w:pPr>
      <w:r>
        <w:rPr/>
        <w:t>采购项目编号：</w:t>
      </w:r>
      <w:r>
        <w:rPr/>
        <w:t>YFZC23FC0123</w:t>
      </w:r>
    </w:p>
    <w:p>
      <w:pPr>
        <w:ind w:firstLine="480"/>
      </w:pPr>
      <w:r>
        <w:rPr/>
        <w:t>采购方式：</w:t>
      </w:r>
      <w:r>
        <w:rPr/>
        <w:t>竞争性磋商</w:t>
      </w:r>
    </w:p>
    <w:p>
      <w:pPr>
        <w:ind w:firstLine="480"/>
      </w:pPr>
      <w:r>
        <w:rPr/>
        <w:t>预算金额：</w:t>
      </w:r>
      <w:r>
        <w:rPr/>
        <w:t>1,200,000.00</w:t>
      </w:r>
      <w:r>
        <w:rPr/>
        <w:t>元</w:t>
      </w:r>
    </w:p>
    <w:p>
      <w:r>
        <w:rPr>
          <w:b/>
          <w:sz w:val="24"/>
        </w:rPr>
        <w:t>2.项目内容及需求情况（采购项目技术规格、参数及要求）</w:t>
      </w:r>
    </w:p>
    <w:p>
      <w:pPr>
        <w:ind w:firstLine="480"/>
      </w:pPr>
    </w:p>
    <w:p/>
    <w:p>
      <w:r>
        <w:rPr/>
        <w:t>采购包1(新兴县2023年度自然资源常态化监测、2023年度全国国土变更调查工作、2023年度卫片执法技术服务和2023年度耕地卫片监督项目):</w:t>
      </w:r>
    </w:p>
    <w:p>
      <w:r>
        <w:rPr/>
        <w:t>采购包预算金额：1,200,000.00元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测绘服务</w:t>
            </w:r>
          </w:p>
        </w:tc>
        <w:tc>
          <w:tcPr>
            <w:tcW w:type="dxa" w:w="2052"/>
          </w:tcPr>
          <w:p>
            <w:r>
              <w:rPr/>
              <w:t>新兴县2023年度自然资源常态化监测、2023年度全国国土变更调查工作、2023年度卫片执法技术服务和2023年度耕地卫片监督项目</w:t>
            </w:r>
          </w:p>
        </w:tc>
        <w:tc>
          <w:tcPr>
            <w:tcW w:type="dxa" w:w="977"/>
          </w:tcPr>
          <w:p>
            <w:r>
              <w:rPr/>
              <w:t>1.00(项)</w:t>
            </w:r>
          </w:p>
        </w:tc>
        <w:tc>
          <w:tcPr>
            <w:tcW w:type="dxa" w:w="977"/>
          </w:tcPr>
          <w:p>
            <w:r>
              <w:rPr/>
              <w:t>详见第二章</w:t>
            </w:r>
          </w:p>
        </w:tc>
        <w:tc>
          <w:tcPr>
            <w:tcW w:type="dxa" w:w="977"/>
          </w:tcPr>
          <w:p>
            <w:r>
              <w:rPr/>
              <w:t>1,200,000.00</w:t>
            </w:r>
          </w:p>
        </w:tc>
        <w:tc>
          <w:tcPr>
            <w:tcW w:type="dxa" w:w="977"/>
          </w:tcPr>
          <w:p>
            <w:r>
              <w:rPr/>
              <w:t>否</w:t>
            </w:r>
          </w:p>
        </w:tc>
      </w:tr>
    </w:tbl>
    <w:p/>
    <w:p>
      <w:r>
        <w:rPr/>
        <w:t>本采购包不接受联合体响应</w:t>
      </w:r>
    </w:p>
    <w:p/>
    <w:p>
      <w:r>
        <w:rPr/>
        <w:t>合同履行期限：自合同生效之日起1年</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1）具有独立承担民事责任的能力：提供法人或者其他组织的营业执照等证明文件复印件。</w:t>
      </w:r>
    </w:p>
    <w:p/>
    <w:p>
      <w:r>
        <w:rPr/>
        <w:t>2）具有良好的商业信誉和健全的财务会计制度：已对接“粤省事”“粤商通”“粤信签”等系统的，可提供系统的相关查询凭证或截图；或在响应文件中提供该项要求的承诺函（注：供应商的承诺函随中标、成交公告一并公示，对发现供应商承诺不实的，属于提供虚假材料谋取中标、成交，依照《中华人民共和国政府采购法》等国家有关规定追究法律责任）。</w:t>
      </w:r>
    </w:p>
    <w:p/>
    <w:p>
      <w:r>
        <w:rPr/>
        <w:t>3）履行合同所必需的设备和专业技术能力：在响应文件中提供声明函。</w:t>
      </w:r>
    </w:p>
    <w:p/>
    <w:p>
      <w:r>
        <w:rPr/>
        <w:t>4）有依法缴纳税收和社会保障资金的良好记录：已对接“粤省事”“粤商通”“粤信签”等系统的，可提供系统的相关查询凭证或截图；或在响应文件中提供该项要求的承诺函（注：供应商的承诺函随中标、成交公告一并公示，对发现供应商承诺不实的，属于提供虚假材料谋取中标、成交，依照《中华人民共和国政府采购法》等国家有关规定追究法律责任）。</w:t>
      </w:r>
    </w:p>
    <w:p/>
    <w:p>
      <w:r>
        <w:rPr/>
        <w:t>5）参加采购活动前3年内，在经营活动中没有重大违法记录：在响应文件中提供声明函。</w:t>
      </w:r>
    </w:p>
    <w:p/>
    <w:p>
      <w:r>
        <w:rPr>
          <w:b/>
          <w:sz w:val="24"/>
        </w:rPr>
        <w:t>2.落实政府采购政策需满足的资格要求：</w:t>
      </w:r>
    </w:p>
    <w:p>
      <w:pPr>
        <w:ind w:firstLine="480"/>
      </w:pPr>
    </w:p>
    <w:p>
      <w:pPr>
        <w:jc w:val="left"/>
      </w:pPr>
    </w:p>
    <w:p>
      <w:r>
        <w:rPr/>
        <w:t>采购包1（新兴县2023年度自然资源常态化监测、2023年度全国国土变更调查工作、2023年度卫片执法技术服务和2023年度耕地卫片监督项目）：</w:t>
      </w:r>
      <w:r>
        <w:rPr/>
        <w:t>参与的供应商服务全部由符合政策要求的中小企业承接。</w:t>
      </w:r>
    </w:p>
    <w:p/>
    <w:p>
      <w:r>
        <w:rPr>
          <w:b/>
          <w:sz w:val="24"/>
        </w:rPr>
        <w:t>3.本项目特定的资格要求：</w:t>
      </w:r>
    </w:p>
    <w:p>
      <w:pPr>
        <w:ind w:firstLine="480"/>
      </w:pPr>
    </w:p>
    <w:p/>
    <w:p>
      <w:r>
        <w:rPr/>
        <w:t>采购包1（新兴县2023年度自然资源常态化监测、2023年度全国国土变更调查工作、2023年度卫片执法技术服务和2023年度耕地卫片监督项目）：</w:t>
      </w:r>
    </w:p>
    <w:p/>
    <w:p>
      <w:r>
        <w:rPr/>
        <w:t>1)（1）供应商须具备法律、行政法规规定的其他条件：在响应文件中提供声明函。 （2）供应商须是在中华人民共和国境内注册的具备独立承担民事责任能力的法人或其它组织。 （3）供应商须具有乙级或以上测绘资质证书（专业类别：摄影测量与遥感、界线与不动产测绘、地理信息系统工程），提供有效期内的证书复印件并加盖供应商公章。 （4）供应商未被列入“信用中国”网站（www.creditchina.gov.cn）以下任何记录名单之一：①失信被执行人；②重大税收违法失信主体；③政府采购严重违法失信行为记录名单。同时，不处于中国政府采购网（www.ccgp.gov.cn）“政府采购严重违法失信行为信息记录”中的禁止参加政府采购活动期间。（注：①以采购人或采购代理机构于投标截止日当天在“信用中国”网站及中国政府采购网查询结果为准，并在“信用中国”网站打印信用报告，如在上述网站查询结果均显示没有相关记录，视为不存在上述不良信用记录。②如相关失信记录已失效，供应商须提供相关证明资料。） （5）本项目不接受联合体参加投标，不允许转包和分包。 （6）本项目为一个整体，供应商须对全部内容进行投标，不得分拆。</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云浮市公共资源交易服务平台（https://jyzx.yunfu.gov.cn/portal/jsgcjy）、云浮市中策招标咨询服务有限公司（www.yfzczb.com）</w:t>
      </w:r>
    </w:p>
    <w:p>
      <w:r>
        <w:rPr>
          <w:b/>
          <w:sz w:val="28"/>
        </w:rPr>
        <w:t>六.本项目联系方式：</w:t>
      </w:r>
    </w:p>
    <w:p>
      <w:r>
        <w:rPr>
          <w:b/>
          <w:sz w:val="24"/>
        </w:rPr>
        <w:t>1.采购人信息</w:t>
      </w:r>
    </w:p>
    <w:p>
      <w:pPr>
        <w:ind w:firstLine="480"/>
      </w:pPr>
      <w:r>
        <w:rPr/>
        <w:t>名称：</w:t>
      </w:r>
      <w:r>
        <w:rPr/>
        <w:t>新兴县自然资源局</w:t>
      </w:r>
    </w:p>
    <w:p>
      <w:pPr>
        <w:ind w:firstLine="480"/>
      </w:pPr>
      <w:r>
        <w:rPr/>
        <w:t>地址：</w:t>
      </w:r>
      <w:r>
        <w:rPr/>
        <w:t>新兴县新城镇广兴大道中31号</w:t>
      </w:r>
    </w:p>
    <w:p>
      <w:pPr>
        <w:ind w:firstLine="480"/>
      </w:pPr>
      <w:r>
        <w:rPr/>
        <w:t>联系方式：</w:t>
      </w:r>
      <w:r>
        <w:rPr/>
        <w:t>何小姐 0766-2976330</w:t>
      </w:r>
    </w:p>
    <w:p>
      <w:r>
        <w:rPr>
          <w:b/>
          <w:sz w:val="24"/>
        </w:rPr>
        <w:t>2.采购代理机构信息</w:t>
      </w:r>
    </w:p>
    <w:p>
      <w:pPr>
        <w:ind w:firstLine="480"/>
      </w:pPr>
      <w:r>
        <w:rPr/>
        <w:t>名称：</w:t>
      </w:r>
      <w:r>
        <w:rPr/>
        <w:t>云浮市中策招标咨询服务有限公司</w:t>
      </w:r>
    </w:p>
    <w:p>
      <w:pPr>
        <w:ind w:firstLine="480"/>
      </w:pPr>
      <w:r>
        <w:rPr/>
        <w:t>地址：</w:t>
      </w:r>
      <w:r>
        <w:rPr/>
        <w:t>新兴县新城镇新洲大道南69号（城北商住区东区）第二层201室</w:t>
      </w:r>
    </w:p>
    <w:p>
      <w:pPr>
        <w:ind w:firstLine="480"/>
      </w:pPr>
      <w:r>
        <w:rPr/>
        <w:t>联系方式：</w:t>
      </w:r>
      <w:r>
        <w:rPr/>
        <w:t>简小姐 0766-2922133</w:t>
      </w:r>
    </w:p>
    <w:p>
      <w:r>
        <w:rPr>
          <w:b/>
          <w:sz w:val="24"/>
        </w:rPr>
        <w:t>3.项目联系方式</w:t>
      </w:r>
    </w:p>
    <w:p>
      <w:pPr>
        <w:ind w:firstLine="480"/>
      </w:pPr>
      <w:r>
        <w:rPr/>
        <w:t>项目联系人：</w:t>
      </w:r>
      <w:r>
        <w:rPr/>
        <w:t>简小姐</w:t>
      </w:r>
    </w:p>
    <w:p>
      <w:pPr>
        <w:ind w:firstLine="480"/>
      </w:pPr>
      <w:r>
        <w:rPr/>
        <w:t>电话：</w:t>
      </w:r>
      <w:r>
        <w:rPr/>
        <w:t>简小姐 0766-2922133</w:t>
      </w:r>
    </w:p>
    <w:p>
      <w:r>
        <w:rPr>
          <w:b/>
          <w:sz w:val="24"/>
        </w:rPr>
        <w:t>4.技术支持联系方式</w:t>
      </w:r>
    </w:p>
    <w:p>
      <w:pPr>
        <w:ind w:firstLine="480"/>
      </w:pPr>
      <w:r>
        <w:rPr/>
        <w:t>云平台联系方式：020-88696588</w:t>
      </w:r>
    </w:p>
    <w:p>
      <w:r>
        <w:rPr/>
        <w:t>采购代理机构：</w:t>
      </w:r>
      <w:r>
        <w:rPr/>
        <w:t>云浮市中策招标咨询服务有限公司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r>
        <w:rPr>
          <w:b/>
          <w:sz w:val="21"/>
        </w:rPr>
        <w:t>1、</w:t>
      </w:r>
      <w:r>
        <w:rPr>
          <w:b/>
          <w:sz w:val="21"/>
        </w:rPr>
        <w:t>新兴县</w:t>
      </w:r>
      <w:r>
        <w:rPr>
          <w:b/>
          <w:sz w:val="21"/>
        </w:rPr>
        <w:t>2023年度自然资源常态化监测、2023年度全国国土变更调查</w:t>
      </w:r>
    </w:p>
    <w:p>
      <w:pPr>
        <w:ind w:firstLine="420"/>
      </w:pPr>
      <w:r>
        <w:rPr>
          <w:sz w:val="21"/>
        </w:rPr>
        <w:t>为贯彻落实党的十九大和十九届二中、三中、四中全会精神，加快建立自然资源统一调查、评价、监测制度，健全自然资源监管体制，切实履行自然资源统一调查监测职责，以及为准确掌握</w:t>
      </w:r>
      <w:r>
        <w:rPr>
          <w:sz w:val="21"/>
        </w:rPr>
        <w:t>2023年度新兴县国土利用变化情况，保持2022年度国土变更调查成果现势性，采用卫星遥感、互联网、云计算以及地理信息等技术手段，在新兴县范围内开展2023年度自然资源常态化监测、2023年度全国国土变更调查工作。</w:t>
      </w:r>
    </w:p>
    <w:p>
      <w:pPr>
        <w:ind w:firstLine="420"/>
      </w:pPr>
      <w:r>
        <w:rPr>
          <w:sz w:val="21"/>
        </w:rPr>
        <w:t>（</w:t>
      </w:r>
      <w:r>
        <w:rPr>
          <w:sz w:val="21"/>
        </w:rPr>
        <w:t>1</w:t>
      </w:r>
      <w:r>
        <w:rPr>
          <w:sz w:val="21"/>
        </w:rPr>
        <w:t>）</w:t>
      </w:r>
      <w:r>
        <w:rPr>
          <w:sz w:val="21"/>
        </w:rPr>
        <w:t>新兴县</w:t>
      </w:r>
      <w:r>
        <w:rPr>
          <w:sz w:val="21"/>
        </w:rPr>
        <w:t>2023年度自然资源常态化监测：依托广东省自然资源综合感知服务系统（以下简称“感知系统”），以自然资源业务管理数据为主体、以“天空地网”综合感知数据为辅助，及时发现变化图斑，动态掌握全县各类自然资源的类型、面积、范围、分布等变化情况，实现“实时监测、月清季核、年度总结”的监测目标。</w:t>
      </w:r>
    </w:p>
    <w:p>
      <w:pPr>
        <w:ind w:firstLine="420"/>
      </w:pPr>
      <w:r>
        <w:rPr>
          <w:sz w:val="21"/>
        </w:rPr>
        <w:t>（</w:t>
      </w:r>
      <w:r>
        <w:rPr>
          <w:sz w:val="21"/>
        </w:rPr>
        <w:t>2</w:t>
      </w:r>
      <w:r>
        <w:rPr>
          <w:sz w:val="21"/>
        </w:rPr>
        <w:t>）</w:t>
      </w:r>
      <w:r>
        <w:rPr>
          <w:sz w:val="21"/>
        </w:rPr>
        <w:t>新兴县</w:t>
      </w:r>
      <w:r>
        <w:rPr>
          <w:sz w:val="21"/>
        </w:rPr>
        <w:t>2023年度全国国土变更调查：在2022年度国土变更调查成果的基础上，通过开展新兴县2023年度全国国土变更调查工作，全面掌握新兴县2023年度国土利用变化情况，持续开展耕地“非农化”“非粮化”监测，更新2022年度土地利用现状变更调查成果，保障新兴县国土调查成果的现势性和准确性，支撑自然资源“一张图”和综合监管平台平稳运行，不断夯实“以图管地”工作基础，加快推进国家治理体系和治理能力现代化。</w:t>
      </w:r>
    </w:p>
    <w:p>
      <w:r>
        <w:rPr>
          <w:b/>
          <w:sz w:val="21"/>
        </w:rPr>
        <w:t>2、</w:t>
      </w:r>
      <w:r>
        <w:rPr>
          <w:b/>
          <w:sz w:val="21"/>
        </w:rPr>
        <w:t>新兴县</w:t>
      </w:r>
      <w:r>
        <w:rPr>
          <w:b/>
          <w:sz w:val="21"/>
        </w:rPr>
        <w:t>2023年度卫片执法技术服务</w:t>
      </w:r>
    </w:p>
    <w:p>
      <w:pPr>
        <w:ind w:firstLine="420"/>
      </w:pPr>
      <w:r>
        <w:rPr>
          <w:sz w:val="21"/>
        </w:rPr>
        <w:t>根据《自然资源部办公厅关于开展</w:t>
      </w:r>
      <w:r>
        <w:rPr>
          <w:sz w:val="21"/>
        </w:rPr>
        <w:t>2023年卫片执法工作的通知》（自然资办发〔2023〕6号〕的文件精神，要按照“月清、月核、年度评估”的工作要求，健全“早发现、早制止、严查处”的执法工作机制，建立良好的自然资源管理秩序。因此，新兴县须及时开展卫片执法工作，真实准确上报自然资源部下发的2023年卫片执法图斑信息，依法依规查处整改卫片执法发现的土地矿产违法行为，落实粮食安全党政同责，牢牢守住新兴县耕地保护红线。</w:t>
      </w:r>
    </w:p>
    <w:p>
      <w:r>
        <w:rPr>
          <w:b/>
          <w:sz w:val="21"/>
        </w:rPr>
        <w:t>3、</w:t>
      </w:r>
      <w:r>
        <w:rPr>
          <w:b/>
          <w:sz w:val="21"/>
        </w:rPr>
        <w:t>新兴县</w:t>
      </w:r>
      <w:r>
        <w:rPr>
          <w:b/>
          <w:sz w:val="21"/>
        </w:rPr>
        <w:t>2023年度耕地卫片监督</w:t>
      </w:r>
    </w:p>
    <w:p>
      <w:pPr>
        <w:ind w:firstLine="420"/>
      </w:pPr>
      <w:r>
        <w:rPr>
          <w:sz w:val="21"/>
        </w:rPr>
        <w:t>为贯彻落实党中央国务院关于坚决遏制耕地</w:t>
      </w:r>
      <w:r>
        <w:rPr>
          <w:sz w:val="21"/>
        </w:rPr>
        <w:t>“非农化”、严格管控“非粮化”、“坚决守住18亿亩耕地红线”的决策部署，动态监督耕地（包括永久基本农田，下同）变为林地、园地、草地等其他类型农用地及农业设施建设用地等情况，全面加强耕地特殊保护和用途管制，压实市县党委政府耕地保护责任，建立耕地卫片监督工作机制，采取“长牙齿”的硬措施，落实最严格的耕地保护制度，确保可以长期稳定利用的耕地总量不再减少，保障粮食安全，计划开展新兴县2023年度耕地卫片监督工作。</w:t>
      </w:r>
    </w:p>
    <w:p/>
    <w:p>
      <w:pPr>
        <w:ind w:firstLine="480"/>
      </w:pPr>
    </w:p>
    <w:p/>
    <w:p>
      <w:r>
        <w:rPr/>
        <w:t>采购包1（新兴县2023年度自然资源常态化监测、2023年度全国国土变更调查工作、2023年度卫片执法技术服务和2023年度耕地卫片监督项目）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★自合同生效之日起1年</w:t>
            </w:r>
          </w:p>
        </w:tc>
      </w:tr>
      <w:tr>
        <w:tc>
          <w:tcPr>
            <w:tcW w:type="dxa" w:w="4153"/>
          </w:tcPr>
          <w:p>
            <w:r>
              <w:rPr/>
              <w:t>标的提供的地点</w:t>
            </w:r>
          </w:p>
        </w:tc>
        <w:tc>
          <w:tcPr>
            <w:tcW w:type="dxa" w:w="4153"/>
          </w:tcPr>
          <w:p/>
          <w:p>
            <w:r>
              <w:rPr/>
              <w:t>云浮市新兴县</w:t>
            </w:r>
          </w:p>
        </w:tc>
      </w:tr>
      <w:tr>
        <w:tc>
          <w:tcPr>
            <w:tcW w:type="dxa" w:w="4153"/>
          </w:tcPr>
          <w:p>
            <w:r>
              <w:rPr/>
              <w:t>付款方式</w:t>
            </w:r>
          </w:p>
        </w:tc>
        <w:tc>
          <w:tcPr>
            <w:tcW w:type="dxa" w:w="4153"/>
          </w:tcPr>
          <w:p/>
          <w:p/>
          <w:p>
            <w:r>
              <w:rPr/>
              <w:t>1期：支付比例30%,★合同签订生效后支付合同价款（即成交供应商的总报价）的30%；</w:t>
            </w:r>
          </w:p>
          <w:p/>
          <w:p>
            <w:r>
              <w:rPr/>
              <w:t>2期：支付比例60%,★成交供应商完成项目全部工作并提交工作成果后支付至最终结算价的60%；</w:t>
            </w:r>
          </w:p>
          <w:p/>
          <w:p>
            <w:r>
              <w:rPr/>
              <w:t>3期：支付比例10%,★项目审核验收通过后支付至最终结算价的100%。</w:t>
            </w:r>
          </w:p>
        </w:tc>
      </w:tr>
      <w:tr>
        <w:tc>
          <w:tcPr>
            <w:tcW w:type="dxa" w:w="4153"/>
          </w:tcPr>
          <w:p>
            <w:r>
              <w:rPr/>
              <w:t>验收要求</w:t>
            </w:r>
          </w:p>
        </w:tc>
        <w:tc>
          <w:tcPr>
            <w:tcW w:type="dxa" w:w="4153"/>
          </w:tcPr>
          <w:p/>
          <w:p/>
          <w:p/>
          <w:p>
            <w:r>
              <w:rPr/>
              <w:t>1期：★（1）以国家、省、市现行相关管理法规和采购文件的规定为验收标准，如验收不合格的必须返工，返工费由成交供应商负责。 ★（2）项目所有工作须通过采购人组织的验收，如发现项目质量不合格，采购人有权要求成交供应商处理，直至验收通过为止。如出现双方意见不统一情况，采购人有权要求成交供应商出具第三方权威机构的验收报告，费用由成交供应商支付。 ★（3）成交供应商提交的技术成果必须符合国家法律、法规的规定，且不得侵犯任何第三方的知识产权及其他权利，否则由成交供应商承担相应的责任。 ★（4）当项目质量无法达到采购人的要求时，采购人可拒绝验收，由此造成的损失全部由成交供应商承担。 ★（5）所有验收文件、资料等要提交给采购人以作留档备案。</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★付款方式（补充），（1）成交供应商凭以下有效文件向采购人申请支付： 1）合同； 2）成交供应商开具有效的正式发票； 3）验收报告（加盖采购人公章）； 4）成交通知书； 5）采购人要求的其他付款资料。 （2）付款方式：采用银行转账等形式。 （3）采购人延迟支付政府采购供应商款项的，应当支付逾期利息。逾期利息的利率由采购人和成交供应商双方在签订合同时约定，约定利率不得低于合同订立时1年期贷款市场报价利率；未作约定的，按照每日利率万分之五支付逾期利息。</w:t>
            </w:r>
          </w:p>
        </w:tc>
      </w:tr>
    </w:tbl>
    <w:p/>
    <w:p>
      <w:r>
        <w:rPr/>
        <w:t>其他商务需求</w:t>
      </w:r>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r>
              <w:rPr/>
              <w:t>★</w:t>
            </w:r>
          </w:p>
        </w:tc>
        <w:tc>
          <w:tcPr>
            <w:tcW w:type="dxa" w:w="2076"/>
          </w:tcPr>
          <w:p>
            <w:pPr>
              <w:jc w:val="center"/>
            </w:pPr>
            <w:r>
              <w:rPr/>
              <w:t>1</w:t>
            </w:r>
          </w:p>
        </w:tc>
        <w:tc>
          <w:tcPr>
            <w:tcW w:type="dxa" w:w="2076"/>
          </w:tcPr>
          <w:p>
            <w:pPr>
              <w:jc w:val="left"/>
            </w:pPr>
            <w:r>
              <w:rPr/>
              <w:t>报价要求</w:t>
            </w:r>
          </w:p>
        </w:tc>
        <w:tc>
          <w:tcPr>
            <w:tcW w:type="dxa" w:w="2076"/>
          </w:tcPr>
          <w:p>
            <w:pPr>
              <w:jc w:val="left"/>
            </w:pPr>
            <w:r>
              <w:rPr/>
              <w:t>（1）供应商的报价须以人民币元为单位，小数点后可保留两位小数。 （2）供应商须在响应文件格式的“格式十九”后附报价明细表（根据本项目竞争性磋商公告附件中的《报价明细表格式》填写），报价明细表中的单价报价不得高于单价最高限价，分项工作的报价不得高于分项工作的预算金额，总报价不得高于项目总预算，否则其报价将被视为无效。 （3）供应商的报价须包含完成标的服务及其他附属服务的服务费、成果文件编制费、相关人员工资、差旅费、组织管理费、保险费、工具费、税费等完成合同规定责任和义务、达到合同目的的一切费用。 （4）本项目以四项工作的总报价进行竞价，成交供应商的总报价即为本项目的合同价款（合同暂时定价），结算时根据“技术要求”中“（1）工作内容”所述的结算规则进行结算。</w:t>
            </w:r>
          </w:p>
        </w:tc>
      </w:tr>
      <w:tr>
        <w:tc>
          <w:tcPr>
            <w:tcW w:type="dxa" w:w="2076"/>
          </w:tcPr>
          <w:p>
            <w:pPr>
              <w:jc w:val="center"/>
            </w:pPr>
          </w:p>
        </w:tc>
        <w:tc>
          <w:tcPr>
            <w:tcW w:type="dxa" w:w="2076"/>
          </w:tcPr>
          <w:p>
            <w:pPr>
              <w:jc w:val="center"/>
            </w:pPr>
            <w:r>
              <w:rPr/>
              <w:t>2</w:t>
            </w:r>
          </w:p>
        </w:tc>
        <w:tc>
          <w:tcPr>
            <w:tcW w:type="dxa" w:w="2076"/>
          </w:tcPr>
          <w:p>
            <w:pPr>
              <w:jc w:val="left"/>
            </w:pPr>
            <w:r>
              <w:rPr/>
              <w:t>其他要求</w:t>
            </w:r>
          </w:p>
        </w:tc>
        <w:tc>
          <w:tcPr>
            <w:tcW w:type="dxa" w:w="2076"/>
          </w:tcPr>
          <w:p>
            <w:pPr>
              <w:jc w:val="left"/>
            </w:pPr>
            <w:r>
              <w:rPr/>
              <w:t>（1）成交供应商须对项目实施提供必要的技术支持和服务保证。 （2）成交供应商须严格履行合同约定，提高服务质量和水平，确保采购人信息安全，在未征得采购人同意的情况下，成交供应商及其工作人员不得在本项目合同以外事项中引用、发表或向第三者提供与本项目相关的资料，否则将根据产生的后果承担相应的赔偿责任及法律责任。 （3）在合同期内，成交供应商必须根据合同中的各项条款，切实履行各项职责，因成交供应商履行合同不到位或不服从指令等原因造成生命财产损失，由成交供应商独自承担其法律和经济责任，与采购人无关。</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测绘服务</w:t>
            </w:r>
          </w:p>
        </w:tc>
        <w:tc>
          <w:tcPr>
            <w:tcW w:type="dxa" w:w="933"/>
          </w:tcPr>
          <w:p>
            <w:pPr>
              <w:jc w:val="left"/>
            </w:pPr>
            <w:r>
              <w:rPr/>
              <w:t>新兴县2023年度自然资源常态化监测、2023年度全国国土变更调查工作、2023年度卫片执法技术服务和2023年度耕地卫片监督项目</w:t>
            </w:r>
          </w:p>
        </w:tc>
        <w:tc>
          <w:tcPr>
            <w:tcW w:type="dxa" w:w="933"/>
          </w:tcPr>
          <w:p>
            <w:pPr>
              <w:jc w:val="left"/>
            </w:pPr>
            <w:r>
              <w:rPr/>
              <w:t>项</w:t>
            </w:r>
          </w:p>
        </w:tc>
        <w:tc>
          <w:tcPr>
            <w:tcW w:type="dxa" w:w="933"/>
          </w:tcPr>
          <w:p>
            <w:pPr>
              <w:jc w:val="right"/>
            </w:pPr>
            <w:r>
              <w:rPr/>
              <w:t>1.00</w:t>
            </w:r>
          </w:p>
        </w:tc>
        <w:tc>
          <w:tcPr>
            <w:tcW w:type="dxa" w:w="933"/>
          </w:tcPr>
          <w:p>
            <w:pPr>
              <w:jc w:val="right"/>
            </w:pPr>
            <w:r>
              <w:rPr/>
              <w:t>1,200,000.00</w:t>
            </w:r>
          </w:p>
        </w:tc>
        <w:tc>
          <w:tcPr>
            <w:tcW w:type="dxa" w:w="933"/>
          </w:tcPr>
          <w:p>
            <w:pPr>
              <w:jc w:val="right"/>
            </w:pPr>
            <w:r>
              <w:rPr/>
              <w:t>1,200,000.00</w:t>
            </w:r>
          </w:p>
        </w:tc>
        <w:tc>
          <w:tcPr>
            <w:tcW w:type="dxa" w:w="840"/>
          </w:tcPr>
          <w:p>
            <w:r>
              <w:rPr/>
              <w:t>其他未列明行业</w:t>
            </w:r>
          </w:p>
        </w:tc>
        <w:tc>
          <w:tcPr>
            <w:tcW w:type="dxa" w:w="933"/>
          </w:tcPr>
          <w:p>
            <w:r>
              <w:rPr/>
              <w:t>详见附表一</w:t>
            </w:r>
          </w:p>
        </w:tc>
      </w:tr>
    </w:tbl>
    <w:p/>
    <w:p>
      <w:r>
        <w:rPr>
          <w:b/>
        </w:rPr>
        <w:t>附表</w:t>
      </w:r>
      <w:r>
        <w:rPr>
          <w:b/>
        </w:rPr>
        <w:t>一</w:t>
      </w:r>
      <w:r>
        <w:rPr>
          <w:b/>
        </w:rPr>
        <w:t>：</w:t>
      </w:r>
      <w:r>
        <w:rPr>
          <w:b/>
        </w:rPr>
        <w:t>新兴县2023年度自然资源常态化监测、2023年度全国国土变更调查工作、2023年度卫片执法技术服务和2023年度耕地卫片监督项目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r>
              <w:rPr>
                <w:b/>
                <w:sz w:val="22"/>
              </w:rPr>
              <w:t>（</w:t>
            </w:r>
            <w:r>
              <w:rPr>
                <w:b/>
                <w:sz w:val="22"/>
              </w:rPr>
              <w:t>1</w:t>
            </w:r>
            <w:r>
              <w:rPr>
                <w:b/>
                <w:sz w:val="22"/>
              </w:rPr>
              <w:t>）</w:t>
            </w:r>
            <w:r>
              <w:rPr>
                <w:b/>
                <w:sz w:val="22"/>
              </w:rPr>
              <w:t>工作内容</w:t>
            </w:r>
          </w:p>
          <w:p>
            <w:pPr>
              <w:jc w:val="center"/>
            </w:pPr>
            <w:r>
              <w:rPr>
                <w:b/>
                <w:sz w:val="21"/>
              </w:rPr>
              <w:t>1.1新兴县2023年度自然资源常态化监测</w:t>
            </w:r>
          </w:p>
          <w:tbl>
            <w:tblPr>
              <w:tblBorders>
                <w:top w:val="none" w:color="000000" w:sz="4"/>
                <w:left w:val="none" w:color="000000" w:sz="4"/>
                <w:bottom w:val="none" w:color="000000" w:sz="4"/>
                <w:right w:val="none" w:color="000000" w:sz="4"/>
                <w:insideH w:val="none"/>
                <w:insideV w:val="none"/>
              </w:tblBorders>
            </w:tblPr>
            <w:tblGrid>
              <w:gridCol w:w="349"/>
              <w:gridCol w:w="841"/>
              <w:gridCol w:w="1772"/>
              <w:gridCol w:w="484"/>
              <w:gridCol w:w="643"/>
              <w:gridCol w:w="567"/>
              <w:gridCol w:w="943"/>
            </w:tblGrid>
            <w:tr>
              <w:tc>
                <w:tcPr>
                  <w:tcW w:type="dxa" w:w="349"/>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841"/>
                  <w:tcBorders>
                    <w:top w:val="single" w:color="000000" w:sz="4"/>
                    <w:left w:val="single" w:color="000000" w:sz="4"/>
                    <w:bottom w:val="single" w:color="000000" w:sz="4"/>
                    <w:right w:val="single" w:color="000000" w:sz="4"/>
                  </w:tcBorders>
                  <w:vAlign w:val="top"/>
                </w:tcPr>
                <w:p>
                  <w:pPr>
                    <w:jc w:val="center"/>
                  </w:pPr>
                  <w:r>
                    <w:rPr>
                      <w:b/>
                      <w:sz w:val="21"/>
                    </w:rPr>
                    <w:t>工作项</w:t>
                  </w:r>
                </w:p>
              </w:tc>
              <w:tc>
                <w:tcPr>
                  <w:tcW w:type="dxa" w:w="1772"/>
                  <w:tcBorders>
                    <w:top w:val="single" w:color="000000" w:sz="4"/>
                    <w:left w:val="single" w:color="000000" w:sz="4"/>
                    <w:bottom w:val="single" w:color="000000" w:sz="4"/>
                    <w:right w:val="single" w:color="000000" w:sz="4"/>
                  </w:tcBorders>
                  <w:vAlign w:val="top"/>
                </w:tcPr>
                <w:p>
                  <w:pPr>
                    <w:jc w:val="center"/>
                  </w:pPr>
                  <w:r>
                    <w:rPr>
                      <w:b/>
                      <w:sz w:val="21"/>
                    </w:rPr>
                    <w:t>工作内容</w:t>
                  </w:r>
                </w:p>
              </w:tc>
              <w:tc>
                <w:tcPr>
                  <w:tcW w:type="dxa" w:w="484"/>
                  <w:tcBorders>
                    <w:top w:val="single" w:color="000000" w:sz="4"/>
                    <w:left w:val="single" w:color="000000" w:sz="4"/>
                    <w:bottom w:val="single" w:color="000000" w:sz="4"/>
                    <w:right w:val="single" w:color="000000" w:sz="4"/>
                  </w:tcBorders>
                  <w:vAlign w:val="top"/>
                </w:tcPr>
                <w:p>
                  <w:pPr>
                    <w:jc w:val="center"/>
                  </w:pPr>
                  <w:r>
                    <w:rPr>
                      <w:b/>
                      <w:sz w:val="21"/>
                    </w:rPr>
                    <w:t>单位</w:t>
                  </w:r>
                </w:p>
              </w:tc>
              <w:tc>
                <w:tcPr>
                  <w:tcW w:type="dxa" w:w="643"/>
                  <w:tcBorders>
                    <w:top w:val="single" w:color="000000" w:sz="4"/>
                    <w:left w:val="single" w:color="000000" w:sz="4"/>
                    <w:bottom w:val="single" w:color="000000" w:sz="4"/>
                    <w:right w:val="single" w:color="000000" w:sz="4"/>
                  </w:tcBorders>
                  <w:vAlign w:val="top"/>
                </w:tcPr>
                <w:p>
                  <w:pPr>
                    <w:jc w:val="center"/>
                  </w:pPr>
                  <w:r>
                    <w:rPr>
                      <w:b/>
                      <w:sz w:val="21"/>
                    </w:rPr>
                    <w:t>工作量</w:t>
                  </w:r>
                </w:p>
              </w:tc>
              <w:tc>
                <w:tcPr>
                  <w:tcW w:type="dxa" w:w="567"/>
                  <w:tcBorders>
                    <w:top w:val="single" w:color="000000" w:sz="4"/>
                    <w:left w:val="single" w:color="000000" w:sz="4"/>
                    <w:bottom w:val="single" w:color="000000" w:sz="4"/>
                    <w:right w:val="single" w:color="000000" w:sz="4"/>
                  </w:tcBorders>
                  <w:vAlign w:val="top"/>
                </w:tcPr>
                <w:p>
                  <w:pPr>
                    <w:jc w:val="center"/>
                  </w:pPr>
                  <w:r>
                    <w:rPr>
                      <w:b/>
                      <w:sz w:val="21"/>
                    </w:rPr>
                    <w:t>单价最高限价</w:t>
                  </w:r>
                </w:p>
              </w:tc>
              <w:tc>
                <w:tcPr>
                  <w:tcW w:type="dxa" w:w="943"/>
                  <w:tcBorders>
                    <w:top w:val="single" w:color="000000" w:sz="4"/>
                    <w:left w:val="single" w:color="000000" w:sz="4"/>
                    <w:bottom w:val="single" w:color="000000" w:sz="4"/>
                    <w:right w:val="single" w:color="000000" w:sz="4"/>
                  </w:tcBorders>
                  <w:vAlign w:val="top"/>
                </w:tcPr>
                <w:p>
                  <w:pPr>
                    <w:jc w:val="center"/>
                  </w:pPr>
                  <w:r>
                    <w:rPr>
                      <w:b/>
                      <w:sz w:val="21"/>
                    </w:rPr>
                    <w:t>预算金额</w:t>
                  </w:r>
                </w:p>
              </w:tc>
            </w:tr>
            <w:tr>
              <w:tc>
                <w:tcPr>
                  <w:tcW w:type="dxa" w:w="349"/>
                  <w:tcBorders>
                    <w:top w:val="none" w:color="000000" w:sz="4"/>
                    <w:left w:val="single" w:color="000000" w:sz="4"/>
                    <w:bottom w:val="single" w:color="000000" w:sz="4"/>
                    <w:right w:val="single" w:color="000000" w:sz="4"/>
                  </w:tcBorders>
                  <w:vAlign w:val="top"/>
                </w:tcPr>
                <w:p>
                  <w:pPr>
                    <w:jc w:val="center"/>
                  </w:pPr>
                  <w:r>
                    <w:rPr>
                      <w:sz w:val="21"/>
                    </w:rPr>
                    <w:t>1</w:t>
                  </w:r>
                </w:p>
              </w:tc>
              <w:tc>
                <w:tcPr>
                  <w:tcW w:type="dxa" w:w="841"/>
                  <w:tcBorders>
                    <w:top w:val="none" w:color="000000" w:sz="4"/>
                    <w:left w:val="single" w:color="000000" w:sz="4"/>
                    <w:bottom w:val="single" w:color="000000" w:sz="4"/>
                    <w:right w:val="single" w:color="000000" w:sz="4"/>
                  </w:tcBorders>
                  <w:vAlign w:val="top"/>
                </w:tcPr>
                <w:p>
                  <w:pPr>
                    <w:jc w:val="center"/>
                  </w:pPr>
                  <w:r>
                    <w:rPr>
                      <w:sz w:val="21"/>
                    </w:rPr>
                    <w:t>县级外业调查</w:t>
                  </w:r>
                </w:p>
              </w:tc>
              <w:tc>
                <w:tcPr>
                  <w:tcW w:type="dxa" w:w="1772"/>
                  <w:tcBorders>
                    <w:top w:val="none" w:color="000000" w:sz="4"/>
                    <w:left w:val="single" w:color="000000" w:sz="4"/>
                    <w:bottom w:val="single" w:color="000000" w:sz="4"/>
                    <w:right w:val="single" w:color="000000" w:sz="4"/>
                  </w:tcBorders>
                  <w:vAlign w:val="top"/>
                </w:tcPr>
                <w:p>
                  <w:r>
                    <w:rPr>
                      <w:sz w:val="21"/>
                    </w:rPr>
                    <w:t>对省级下发的需外业核查的图斑进行外业核查举证</w:t>
                  </w:r>
                </w:p>
              </w:tc>
              <w:tc>
                <w:tcPr>
                  <w:tcW w:type="dxa" w:w="484"/>
                  <w:tcBorders>
                    <w:top w:val="none" w:color="000000" w:sz="4"/>
                    <w:left w:val="single" w:color="000000" w:sz="4"/>
                    <w:bottom w:val="single" w:color="000000" w:sz="4"/>
                    <w:right w:val="single" w:color="000000" w:sz="4"/>
                  </w:tcBorders>
                  <w:vAlign w:val="top"/>
                </w:tcPr>
                <w:p>
                  <w:pPr>
                    <w:jc w:val="center"/>
                  </w:pPr>
                  <w:r>
                    <w:rPr>
                      <w:sz w:val="21"/>
                    </w:rPr>
                    <w:t>个（图斑）</w:t>
                  </w:r>
                </w:p>
              </w:tc>
              <w:tc>
                <w:tcPr>
                  <w:tcW w:type="dxa" w:w="643"/>
                  <w:tcBorders>
                    <w:top w:val="none" w:color="000000" w:sz="4"/>
                    <w:left w:val="single" w:color="000000" w:sz="4"/>
                    <w:bottom w:val="single" w:color="000000" w:sz="4"/>
                    <w:right w:val="single" w:color="000000" w:sz="4"/>
                  </w:tcBorders>
                  <w:vAlign w:val="top"/>
                </w:tcPr>
                <w:p>
                  <w:pPr>
                    <w:jc w:val="center"/>
                  </w:pPr>
                  <w:r>
                    <w:rPr>
                      <w:sz w:val="21"/>
                    </w:rPr>
                    <w:t>预估数：</w:t>
                  </w:r>
                  <w:r>
                    <w:rPr>
                      <w:sz w:val="21"/>
                    </w:rPr>
                    <w:t>3324</w:t>
                  </w:r>
                </w:p>
              </w:tc>
              <w:tc>
                <w:tcPr>
                  <w:tcW w:type="dxa" w:w="567"/>
                  <w:tcBorders>
                    <w:top w:val="none" w:color="000000" w:sz="4"/>
                    <w:left w:val="single" w:color="000000" w:sz="4"/>
                    <w:bottom w:val="single" w:color="000000" w:sz="4"/>
                    <w:right w:val="single" w:color="000000" w:sz="4"/>
                  </w:tcBorders>
                  <w:vAlign w:val="top"/>
                </w:tcPr>
                <w:p>
                  <w:pPr>
                    <w:jc w:val="center"/>
                  </w:pPr>
                  <w:r>
                    <w:rPr>
                      <w:sz w:val="21"/>
                    </w:rPr>
                    <w:t>90元/个</w:t>
                  </w:r>
                </w:p>
              </w:tc>
              <w:tc>
                <w:tcPr>
                  <w:tcW w:type="dxa" w:w="943"/>
                  <w:tcBorders>
                    <w:top w:val="none" w:color="000000" w:sz="4"/>
                    <w:left w:val="single" w:color="000000" w:sz="4"/>
                    <w:bottom w:val="single" w:color="000000" w:sz="4"/>
                    <w:right w:val="single" w:color="000000" w:sz="4"/>
                  </w:tcBorders>
                  <w:vAlign w:val="top"/>
                </w:tcPr>
                <w:p>
                  <w:pPr>
                    <w:jc w:val="center"/>
                  </w:pPr>
                  <w:r>
                    <w:rPr>
                      <w:sz w:val="21"/>
                    </w:rPr>
                    <w:t>299160.00元</w:t>
                  </w:r>
                </w:p>
              </w:tc>
            </w:tr>
            <w:tr>
              <w:tc>
                <w:tcPr>
                  <w:tcW w:type="dxa" w:w="349"/>
                  <w:tcBorders>
                    <w:top w:val="none" w:color="000000" w:sz="4"/>
                    <w:left w:val="single" w:color="000000" w:sz="4"/>
                    <w:bottom w:val="single" w:color="000000" w:sz="4"/>
                    <w:right w:val="single" w:color="000000" w:sz="4"/>
                  </w:tcBorders>
                  <w:vAlign w:val="top"/>
                </w:tcPr>
                <w:p>
                  <w:pPr>
                    <w:jc w:val="center"/>
                  </w:pPr>
                  <w:r>
                    <w:rPr>
                      <w:sz w:val="21"/>
                    </w:rPr>
                    <w:t>2</w:t>
                  </w:r>
                </w:p>
              </w:tc>
              <w:tc>
                <w:tcPr>
                  <w:tcW w:type="dxa" w:w="841"/>
                  <w:tcBorders>
                    <w:top w:val="none" w:color="000000" w:sz="4"/>
                    <w:left w:val="single" w:color="000000" w:sz="4"/>
                    <w:bottom w:val="single" w:color="000000" w:sz="4"/>
                    <w:right w:val="single" w:color="000000" w:sz="4"/>
                  </w:tcBorders>
                  <w:vAlign w:val="top"/>
                </w:tcPr>
                <w:p>
                  <w:pPr>
                    <w:jc w:val="center"/>
                  </w:pPr>
                  <w:r>
                    <w:rPr>
                      <w:sz w:val="21"/>
                    </w:rPr>
                    <w:t>县级内业填报</w:t>
                  </w:r>
                </w:p>
              </w:tc>
              <w:tc>
                <w:tcPr>
                  <w:tcW w:type="dxa" w:w="1772"/>
                  <w:tcBorders>
                    <w:top w:val="none" w:color="000000" w:sz="4"/>
                    <w:left w:val="single" w:color="000000" w:sz="4"/>
                    <w:bottom w:val="single" w:color="000000" w:sz="4"/>
                    <w:right w:val="single" w:color="000000" w:sz="4"/>
                  </w:tcBorders>
                  <w:vAlign w:val="top"/>
                </w:tcPr>
                <w:p>
                  <w:r>
                    <w:rPr>
                      <w:sz w:val="21"/>
                    </w:rPr>
                    <w:t>根据不同业务类型要求进行信息填报</w:t>
                  </w:r>
                </w:p>
              </w:tc>
              <w:tc>
                <w:tcPr>
                  <w:tcW w:type="dxa" w:w="484"/>
                  <w:tcBorders>
                    <w:top w:val="none" w:color="000000" w:sz="4"/>
                    <w:left w:val="single" w:color="000000" w:sz="4"/>
                    <w:bottom w:val="single" w:color="000000" w:sz="4"/>
                    <w:right w:val="single" w:color="000000" w:sz="4"/>
                  </w:tcBorders>
                  <w:vAlign w:val="top"/>
                </w:tcPr>
                <w:p>
                  <w:pPr>
                    <w:jc w:val="center"/>
                  </w:pPr>
                  <w:r>
                    <w:rPr>
                      <w:sz w:val="21"/>
                    </w:rPr>
                    <w:t>项</w:t>
                  </w:r>
                </w:p>
              </w:tc>
              <w:tc>
                <w:tcPr>
                  <w:tcW w:type="dxa" w:w="643"/>
                  <w:tcBorders>
                    <w:top w:val="none" w:color="000000" w:sz="4"/>
                    <w:left w:val="single" w:color="000000" w:sz="4"/>
                    <w:bottom w:val="single" w:color="000000" w:sz="4"/>
                    <w:right w:val="single" w:color="000000" w:sz="4"/>
                  </w:tcBorders>
                  <w:vAlign w:val="top"/>
                </w:tcPr>
                <w:p>
                  <w:pPr>
                    <w:jc w:val="center"/>
                  </w:pPr>
                  <w:r>
                    <w:rPr>
                      <w:sz w:val="21"/>
                    </w:rPr>
                    <w:t>1</w:t>
                  </w:r>
                </w:p>
              </w:tc>
              <w:tc>
                <w:tcPr>
                  <w:tcW w:type="dxa" w:w="567"/>
                  <w:tcBorders>
                    <w:top w:val="none" w:color="000000" w:sz="4"/>
                    <w:left w:val="single" w:color="000000" w:sz="4"/>
                    <w:bottom w:val="single" w:color="000000" w:sz="4"/>
                    <w:right w:val="single" w:color="000000" w:sz="4"/>
                  </w:tcBorders>
                  <w:vAlign w:val="top"/>
                </w:tcPr>
                <w:p>
                  <w:pPr>
                    <w:jc w:val="center"/>
                  </w:pPr>
                  <w:r>
                    <w:rPr>
                      <w:sz w:val="21"/>
                    </w:rPr>
                    <w:t>/</w:t>
                  </w:r>
                </w:p>
              </w:tc>
              <w:tc>
                <w:tcPr>
                  <w:tcW w:type="dxa" w:w="943"/>
                  <w:vMerge w:val="restart"/>
                  <w:tcBorders>
                    <w:top w:val="none" w:color="000000" w:sz="4"/>
                    <w:left w:val="single" w:color="000000" w:sz="4"/>
                    <w:bottom w:val="single" w:color="000000" w:sz="4"/>
                    <w:right w:val="single" w:color="000000" w:sz="4"/>
                  </w:tcBorders>
                  <w:vAlign w:val="top"/>
                </w:tcPr>
                <w:p>
                  <w:pPr>
                    <w:jc w:val="center"/>
                  </w:pPr>
                  <w:r>
                    <w:rPr>
                      <w:sz w:val="21"/>
                    </w:rPr>
                    <w:t>75840.00元</w:t>
                  </w:r>
                </w:p>
              </w:tc>
            </w:tr>
            <w:tr>
              <w:tc>
                <w:tcPr>
                  <w:tcW w:type="dxa" w:w="349"/>
                  <w:tcBorders>
                    <w:top w:val="none" w:color="000000" w:sz="4"/>
                    <w:left w:val="single" w:color="000000" w:sz="4"/>
                    <w:bottom w:val="single" w:color="000000" w:sz="4"/>
                    <w:right w:val="single" w:color="000000" w:sz="4"/>
                  </w:tcBorders>
                  <w:vAlign w:val="top"/>
                </w:tcPr>
                <w:p>
                  <w:pPr>
                    <w:jc w:val="center"/>
                  </w:pPr>
                  <w:r>
                    <w:rPr>
                      <w:sz w:val="21"/>
                    </w:rPr>
                    <w:t>3</w:t>
                  </w:r>
                </w:p>
              </w:tc>
              <w:tc>
                <w:tcPr>
                  <w:tcW w:type="dxa" w:w="841"/>
                  <w:tcBorders>
                    <w:top w:val="none" w:color="000000" w:sz="4"/>
                    <w:left w:val="single" w:color="000000" w:sz="4"/>
                    <w:bottom w:val="single" w:color="000000" w:sz="4"/>
                    <w:right w:val="single" w:color="000000" w:sz="4"/>
                  </w:tcBorders>
                  <w:vAlign w:val="top"/>
                </w:tcPr>
                <w:p>
                  <w:pPr>
                    <w:jc w:val="center"/>
                  </w:pPr>
                  <w:r>
                    <w:rPr>
                      <w:sz w:val="21"/>
                    </w:rPr>
                    <w:t>县级审核</w:t>
                  </w:r>
                </w:p>
              </w:tc>
              <w:tc>
                <w:tcPr>
                  <w:tcW w:type="dxa" w:w="1772"/>
                  <w:tcBorders>
                    <w:top w:val="none" w:color="000000" w:sz="4"/>
                    <w:left w:val="single" w:color="000000" w:sz="4"/>
                    <w:bottom w:val="single" w:color="000000" w:sz="4"/>
                    <w:right w:val="single" w:color="000000" w:sz="4"/>
                  </w:tcBorders>
                  <w:vAlign w:val="top"/>
                </w:tcPr>
                <w:p>
                  <w:r>
                    <w:rPr>
                      <w:sz w:val="21"/>
                    </w:rPr>
                    <w:t>协助县级开展</w:t>
                  </w:r>
                </w:p>
              </w:tc>
              <w:tc>
                <w:tcPr>
                  <w:tcW w:type="dxa" w:w="484"/>
                  <w:tcBorders>
                    <w:top w:val="none" w:color="000000" w:sz="4"/>
                    <w:left w:val="single" w:color="000000" w:sz="4"/>
                    <w:bottom w:val="single" w:color="000000" w:sz="4"/>
                    <w:right w:val="single" w:color="000000" w:sz="4"/>
                  </w:tcBorders>
                  <w:vAlign w:val="top"/>
                </w:tcPr>
                <w:p>
                  <w:pPr>
                    <w:jc w:val="center"/>
                  </w:pPr>
                  <w:r>
                    <w:rPr>
                      <w:sz w:val="21"/>
                    </w:rPr>
                    <w:t>项</w:t>
                  </w:r>
                </w:p>
              </w:tc>
              <w:tc>
                <w:tcPr>
                  <w:tcW w:type="dxa" w:w="643"/>
                  <w:tcBorders>
                    <w:top w:val="none" w:color="000000" w:sz="4"/>
                    <w:left w:val="single" w:color="000000" w:sz="4"/>
                    <w:bottom w:val="single" w:color="000000" w:sz="4"/>
                    <w:right w:val="single" w:color="000000" w:sz="4"/>
                  </w:tcBorders>
                  <w:vAlign w:val="top"/>
                </w:tcPr>
                <w:p>
                  <w:pPr>
                    <w:jc w:val="center"/>
                  </w:pPr>
                  <w:r>
                    <w:rPr>
                      <w:sz w:val="21"/>
                    </w:rPr>
                    <w:t>1</w:t>
                  </w:r>
                </w:p>
              </w:tc>
              <w:tc>
                <w:tcPr>
                  <w:tcW w:type="dxa" w:w="567"/>
                  <w:tcBorders>
                    <w:top w:val="none" w:color="000000" w:sz="4"/>
                    <w:left w:val="single" w:color="000000" w:sz="4"/>
                    <w:bottom w:val="single" w:color="000000" w:sz="4"/>
                    <w:right w:val="single" w:color="000000" w:sz="4"/>
                  </w:tcBorders>
                  <w:vAlign w:val="top"/>
                </w:tcPr>
                <w:p>
                  <w:pPr>
                    <w:jc w:val="center"/>
                  </w:pPr>
                  <w:r>
                    <w:rPr>
                      <w:sz w:val="21"/>
                    </w:rPr>
                    <w:t>/</w:t>
                  </w:r>
                </w:p>
              </w:tc>
            </w:tr>
            <w:tr>
              <w:tc>
                <w:tcPr>
                  <w:tcW w:type="dxa" w:w="349"/>
                  <w:tcBorders>
                    <w:top w:val="none" w:color="000000" w:sz="4"/>
                    <w:left w:val="single" w:color="000000" w:sz="4"/>
                    <w:bottom w:val="single" w:color="000000" w:sz="4"/>
                    <w:right w:val="single" w:color="000000" w:sz="4"/>
                  </w:tcBorders>
                  <w:vAlign w:val="top"/>
                </w:tcPr>
                <w:p>
                  <w:pPr>
                    <w:jc w:val="center"/>
                  </w:pPr>
                  <w:r>
                    <w:rPr>
                      <w:sz w:val="21"/>
                    </w:rPr>
                    <w:t>4</w:t>
                  </w:r>
                </w:p>
              </w:tc>
              <w:tc>
                <w:tcPr>
                  <w:tcW w:type="dxa" w:w="841"/>
                  <w:tcBorders>
                    <w:top w:val="none" w:color="000000" w:sz="4"/>
                    <w:left w:val="single" w:color="000000" w:sz="4"/>
                    <w:bottom w:val="single" w:color="000000" w:sz="4"/>
                    <w:right w:val="single" w:color="000000" w:sz="4"/>
                  </w:tcBorders>
                  <w:vAlign w:val="top"/>
                </w:tcPr>
                <w:p>
                  <w:pPr>
                    <w:jc w:val="center"/>
                  </w:pPr>
                  <w:r>
                    <w:rPr>
                      <w:sz w:val="21"/>
                    </w:rPr>
                    <w:t>自主举证</w:t>
                  </w:r>
                </w:p>
              </w:tc>
              <w:tc>
                <w:tcPr>
                  <w:tcW w:type="dxa" w:w="1772"/>
                  <w:tcBorders>
                    <w:top w:val="none" w:color="000000" w:sz="4"/>
                    <w:left w:val="single" w:color="000000" w:sz="4"/>
                    <w:bottom w:val="single" w:color="000000" w:sz="4"/>
                    <w:right w:val="single" w:color="000000" w:sz="4"/>
                  </w:tcBorders>
                  <w:vAlign w:val="top"/>
                </w:tcPr>
                <w:p>
                  <w:r>
                    <w:rPr>
                      <w:sz w:val="21"/>
                    </w:rPr>
                    <w:t>对自主发现的变化图斑，省级推送的不要求外业核查的常态化监测变化图斑中开展自主举证</w:t>
                  </w:r>
                </w:p>
              </w:tc>
              <w:tc>
                <w:tcPr>
                  <w:tcW w:type="dxa" w:w="484"/>
                  <w:tcBorders>
                    <w:top w:val="none" w:color="000000" w:sz="4"/>
                    <w:left w:val="single" w:color="000000" w:sz="4"/>
                    <w:bottom w:val="single" w:color="000000" w:sz="4"/>
                    <w:right w:val="single" w:color="000000" w:sz="4"/>
                  </w:tcBorders>
                  <w:vAlign w:val="top"/>
                </w:tcPr>
                <w:p>
                  <w:pPr>
                    <w:jc w:val="center"/>
                  </w:pPr>
                  <w:r>
                    <w:rPr>
                      <w:sz w:val="21"/>
                    </w:rPr>
                    <w:t>个</w:t>
                  </w:r>
                </w:p>
              </w:tc>
              <w:tc>
                <w:tcPr>
                  <w:tcW w:type="dxa" w:w="643"/>
                  <w:tcBorders>
                    <w:top w:val="none" w:color="000000" w:sz="4"/>
                    <w:left w:val="single" w:color="000000" w:sz="4"/>
                    <w:bottom w:val="single" w:color="000000" w:sz="4"/>
                    <w:right w:val="single" w:color="000000" w:sz="4"/>
                  </w:tcBorders>
                  <w:vAlign w:val="top"/>
                </w:tcPr>
                <w:p>
                  <w:pPr>
                    <w:jc w:val="center"/>
                  </w:pPr>
                  <w:r>
                    <w:rPr>
                      <w:sz w:val="21"/>
                    </w:rPr>
                    <w:t>按需开展</w:t>
                  </w:r>
                </w:p>
              </w:tc>
              <w:tc>
                <w:tcPr>
                  <w:tcW w:type="dxa" w:w="567"/>
                  <w:tcBorders>
                    <w:top w:val="none" w:color="000000" w:sz="4"/>
                    <w:left w:val="single" w:color="000000" w:sz="4"/>
                    <w:bottom w:val="single" w:color="000000" w:sz="4"/>
                    <w:right w:val="single" w:color="000000" w:sz="4"/>
                  </w:tcBorders>
                  <w:vAlign w:val="top"/>
                </w:tcPr>
                <w:p>
                  <w:pPr>
                    <w:jc w:val="center"/>
                  </w:pPr>
                  <w:r>
                    <w:rPr>
                      <w:sz w:val="21"/>
                    </w:rPr>
                    <w:t>/</w:t>
                  </w:r>
                </w:p>
              </w:tc>
            </w:tr>
            <w:tr>
              <w:tc>
                <w:tcPr>
                  <w:tcW w:type="dxa" w:w="349"/>
                  <w:tcBorders>
                    <w:top w:val="none" w:color="000000" w:sz="4"/>
                    <w:left w:val="single" w:color="000000" w:sz="4"/>
                    <w:bottom w:val="single" w:color="000000" w:sz="4"/>
                    <w:right w:val="single" w:color="000000" w:sz="4"/>
                  </w:tcBorders>
                  <w:vAlign w:val="top"/>
                </w:tcPr>
                <w:p>
                  <w:pPr>
                    <w:jc w:val="center"/>
                  </w:pPr>
                  <w:r>
                    <w:rPr>
                      <w:sz w:val="21"/>
                    </w:rPr>
                    <w:t>5</w:t>
                  </w:r>
                </w:p>
              </w:tc>
              <w:tc>
                <w:tcPr>
                  <w:tcW w:type="dxa" w:w="841"/>
                  <w:tcBorders>
                    <w:top w:val="none" w:color="000000" w:sz="4"/>
                    <w:left w:val="single" w:color="000000" w:sz="4"/>
                    <w:bottom w:val="single" w:color="000000" w:sz="4"/>
                    <w:right w:val="single" w:color="000000" w:sz="4"/>
                  </w:tcBorders>
                  <w:vAlign w:val="top"/>
                </w:tcPr>
                <w:p>
                  <w:pPr>
                    <w:jc w:val="center"/>
                  </w:pPr>
                  <w:r>
                    <w:rPr>
                      <w:sz w:val="21"/>
                    </w:rPr>
                    <w:t>常态化监测成果应用</w:t>
                  </w:r>
                </w:p>
              </w:tc>
              <w:tc>
                <w:tcPr>
                  <w:tcW w:type="dxa" w:w="1772"/>
                  <w:tcBorders>
                    <w:top w:val="none" w:color="000000" w:sz="4"/>
                    <w:left w:val="single" w:color="000000" w:sz="4"/>
                    <w:bottom w:val="single" w:color="000000" w:sz="4"/>
                    <w:right w:val="single" w:color="000000" w:sz="4"/>
                  </w:tcBorders>
                  <w:vAlign w:val="top"/>
                </w:tcPr>
                <w:p>
                  <w:r>
                    <w:rPr>
                      <w:sz w:val="21"/>
                    </w:rPr>
                    <w:t>基于常态化监测结果，按需制作图件</w:t>
                  </w:r>
                </w:p>
              </w:tc>
              <w:tc>
                <w:tcPr>
                  <w:tcW w:type="dxa" w:w="484"/>
                  <w:tcBorders>
                    <w:top w:val="none" w:color="000000" w:sz="4"/>
                    <w:left w:val="single" w:color="000000" w:sz="4"/>
                    <w:bottom w:val="single" w:color="000000" w:sz="4"/>
                    <w:right w:val="single" w:color="000000" w:sz="4"/>
                  </w:tcBorders>
                  <w:vAlign w:val="top"/>
                </w:tcPr>
                <w:p>
                  <w:pPr>
                    <w:jc w:val="center"/>
                  </w:pPr>
                  <w:r>
                    <w:rPr>
                      <w:sz w:val="21"/>
                    </w:rPr>
                    <w:t>幅</w:t>
                  </w:r>
                </w:p>
              </w:tc>
              <w:tc>
                <w:tcPr>
                  <w:tcW w:type="dxa" w:w="643"/>
                  <w:tcBorders>
                    <w:top w:val="none" w:color="000000" w:sz="4"/>
                    <w:left w:val="single" w:color="000000" w:sz="4"/>
                    <w:bottom w:val="single" w:color="000000" w:sz="4"/>
                    <w:right w:val="single" w:color="000000" w:sz="4"/>
                  </w:tcBorders>
                  <w:vAlign w:val="top"/>
                </w:tcPr>
                <w:p>
                  <w:pPr>
                    <w:jc w:val="center"/>
                  </w:pPr>
                  <w:r>
                    <w:rPr>
                      <w:sz w:val="21"/>
                    </w:rPr>
                    <w:t>按需开展</w:t>
                  </w:r>
                </w:p>
              </w:tc>
              <w:tc>
                <w:tcPr>
                  <w:tcW w:type="dxa" w:w="567"/>
                  <w:tcBorders>
                    <w:top w:val="none" w:color="000000" w:sz="4"/>
                    <w:left w:val="single" w:color="000000" w:sz="4"/>
                    <w:bottom w:val="single" w:color="000000" w:sz="4"/>
                    <w:right w:val="single" w:color="000000" w:sz="4"/>
                  </w:tcBorders>
                  <w:vAlign w:val="top"/>
                </w:tcPr>
                <w:p>
                  <w:pPr>
                    <w:jc w:val="center"/>
                  </w:pPr>
                  <w:r>
                    <w:rPr>
                      <w:sz w:val="21"/>
                    </w:rPr>
                    <w:t>/</w:t>
                  </w:r>
                </w:p>
              </w:tc>
            </w:tr>
            <w:tr>
              <w:tc>
                <w:tcPr>
                  <w:tcW w:type="dxa" w:w="349"/>
                  <w:tcBorders>
                    <w:top w:val="none" w:color="000000" w:sz="4"/>
                    <w:left w:val="single" w:color="000000" w:sz="4"/>
                    <w:bottom w:val="single" w:color="000000" w:sz="4"/>
                    <w:right w:val="single" w:color="000000" w:sz="4"/>
                  </w:tcBorders>
                  <w:vAlign w:val="top"/>
                </w:tcPr>
                <w:p>
                  <w:pPr>
                    <w:jc w:val="center"/>
                  </w:pPr>
                  <w:r>
                    <w:rPr>
                      <w:sz w:val="21"/>
                    </w:rPr>
                    <w:t>6</w:t>
                  </w:r>
                </w:p>
              </w:tc>
              <w:tc>
                <w:tcPr>
                  <w:tcW w:type="dxa" w:w="841"/>
                  <w:tcBorders>
                    <w:top w:val="none" w:color="000000" w:sz="4"/>
                    <w:left w:val="single" w:color="000000" w:sz="4"/>
                    <w:bottom w:val="single" w:color="000000" w:sz="4"/>
                    <w:right w:val="single" w:color="000000" w:sz="4"/>
                  </w:tcBorders>
                  <w:vAlign w:val="top"/>
                </w:tcPr>
                <w:p>
                  <w:pPr>
                    <w:jc w:val="center"/>
                  </w:pPr>
                  <w:r>
                    <w:rPr>
                      <w:sz w:val="21"/>
                    </w:rPr>
                    <w:t>常态化监测成果应用</w:t>
                  </w:r>
                </w:p>
              </w:tc>
              <w:tc>
                <w:tcPr>
                  <w:tcW w:type="dxa" w:w="1772"/>
                  <w:tcBorders>
                    <w:top w:val="none" w:color="000000" w:sz="4"/>
                    <w:left w:val="single" w:color="000000" w:sz="4"/>
                    <w:bottom w:val="single" w:color="000000" w:sz="4"/>
                    <w:right w:val="single" w:color="000000" w:sz="4"/>
                  </w:tcBorders>
                  <w:vAlign w:val="top"/>
                </w:tcPr>
                <w:p>
                  <w:r>
                    <w:rPr>
                      <w:sz w:val="21"/>
                    </w:rPr>
                    <w:t>基于常态化监测结果，按需制作分析报告</w:t>
                  </w:r>
                </w:p>
              </w:tc>
              <w:tc>
                <w:tcPr>
                  <w:tcW w:type="dxa" w:w="484"/>
                  <w:tcBorders>
                    <w:top w:val="none" w:color="000000" w:sz="4"/>
                    <w:left w:val="single" w:color="000000" w:sz="4"/>
                    <w:bottom w:val="single" w:color="000000" w:sz="4"/>
                    <w:right w:val="single" w:color="000000" w:sz="4"/>
                  </w:tcBorders>
                  <w:vAlign w:val="top"/>
                </w:tcPr>
                <w:p>
                  <w:pPr>
                    <w:jc w:val="center"/>
                  </w:pPr>
                  <w:r>
                    <w:rPr>
                      <w:sz w:val="21"/>
                    </w:rPr>
                    <w:t>项</w:t>
                  </w:r>
                </w:p>
              </w:tc>
              <w:tc>
                <w:tcPr>
                  <w:tcW w:type="dxa" w:w="643"/>
                  <w:tcBorders>
                    <w:top w:val="none" w:color="000000" w:sz="4"/>
                    <w:left w:val="single" w:color="000000" w:sz="4"/>
                    <w:bottom w:val="single" w:color="000000" w:sz="4"/>
                    <w:right w:val="single" w:color="000000" w:sz="4"/>
                  </w:tcBorders>
                  <w:vAlign w:val="top"/>
                </w:tcPr>
                <w:p>
                  <w:pPr>
                    <w:jc w:val="center"/>
                  </w:pPr>
                  <w:r>
                    <w:rPr>
                      <w:sz w:val="21"/>
                    </w:rPr>
                    <w:t>按需开展</w:t>
                  </w:r>
                </w:p>
              </w:tc>
              <w:tc>
                <w:tcPr>
                  <w:tcW w:type="dxa" w:w="567"/>
                  <w:tcBorders>
                    <w:top w:val="none" w:color="000000" w:sz="4"/>
                    <w:left w:val="single" w:color="000000" w:sz="4"/>
                    <w:bottom w:val="single" w:color="000000" w:sz="4"/>
                    <w:right w:val="single" w:color="000000" w:sz="4"/>
                  </w:tcBorders>
                  <w:vAlign w:val="top"/>
                </w:tcPr>
                <w:p>
                  <w:pPr>
                    <w:jc w:val="center"/>
                  </w:pPr>
                  <w:r>
                    <w:rPr>
                      <w:sz w:val="21"/>
                    </w:rPr>
                    <w:t>/</w:t>
                  </w:r>
                </w:p>
              </w:tc>
            </w:tr>
            <w:tr>
              <w:tc>
                <w:tcPr>
                  <w:tcW w:type="dxa" w:w="4656"/>
                  <w:gridSpan w:val="6"/>
                  <w:tcBorders>
                    <w:top w:val="none" w:color="000000" w:sz="4"/>
                    <w:left w:val="single" w:color="000000" w:sz="4"/>
                    <w:bottom w:val="single" w:color="000000" w:sz="4"/>
                    <w:right w:val="single" w:color="000000" w:sz="4"/>
                  </w:tcBorders>
                  <w:vAlign w:val="top"/>
                </w:tcPr>
                <w:p>
                  <w:pPr>
                    <w:jc w:val="center"/>
                  </w:pPr>
                  <w:r>
                    <w:rPr>
                      <w:b/>
                      <w:sz w:val="21"/>
                    </w:rPr>
                    <w:t>合计</w:t>
                  </w:r>
                </w:p>
              </w:tc>
              <w:tc>
                <w:tcPr>
                  <w:tcW w:type="dxa" w:w="943"/>
                  <w:tcBorders>
                    <w:top w:val="none" w:color="000000" w:sz="4"/>
                    <w:left w:val="single" w:color="000000" w:sz="4"/>
                    <w:bottom w:val="single" w:color="000000" w:sz="4"/>
                    <w:right w:val="single" w:color="000000" w:sz="4"/>
                  </w:tcBorders>
                  <w:vAlign w:val="top"/>
                </w:tcPr>
                <w:p>
                  <w:pPr>
                    <w:jc w:val="center"/>
                  </w:pPr>
                  <w:r>
                    <w:rPr>
                      <w:b/>
                      <w:sz w:val="21"/>
                    </w:rPr>
                    <w:t>375000.00元</w:t>
                  </w:r>
                </w:p>
              </w:tc>
            </w:tr>
          </w:tbl>
          <w:p>
            <w:r>
              <w:rPr>
                <w:sz w:val="21"/>
              </w:rPr>
              <w:t>注：</w:t>
            </w:r>
          </w:p>
          <w:p>
            <w:r>
              <w:rPr>
                <w:sz w:val="21"/>
              </w:rPr>
              <w:t>①上表中“县级外业调查”的工作量为预估数，如成交供应商实际完成的工作量小于预估数的，则根据“县级外业调查”工作项的成交单价及实际完成的工作量进行按实结算；如成交供应商实际完成的工作量大于预估数的，成交供应商须按“县级外业调查”工作项的成交总金额以包干形式完成所有“县级外业调查”工作，供应商对此必须充分考虑，采购人将不再为此另行支付任何费用。</w:t>
            </w:r>
          </w:p>
          <w:p>
            <w:pPr>
              <w:jc w:val="left"/>
            </w:pPr>
            <w:r>
              <w:rPr>
                <w:sz w:val="21"/>
              </w:rPr>
              <w:t>②除“县级外业调查”工作项外，其它工作项均按其成交金额包干。</w:t>
            </w:r>
          </w:p>
          <w:p>
            <w:pPr>
              <w:jc w:val="left"/>
            </w:pPr>
            <w:r>
              <w:rPr>
                <w:sz w:val="21"/>
              </w:rPr>
              <w:t>③图斑全部下发后，成交供应商须在5-15天内完成外业调查举证。</w:t>
            </w:r>
          </w:p>
          <w:p>
            <w:pPr>
              <w:jc w:val="both"/>
            </w:pPr>
            <w:r>
              <w:rPr>
                <w:sz w:val="21"/>
              </w:rPr>
              <w:t>④项目实施过程中如省厅下达新的文件要求，成交供应商都必须以其成交金额按要求完成所有工作，采购人将不再为此另行支付任何费用。</w:t>
            </w:r>
          </w:p>
          <w:p>
            <w:pPr>
              <w:jc w:val="center"/>
            </w:pPr>
            <w:r>
              <w:rPr/>
              <w:t xml:space="preserve"> </w:t>
            </w:r>
          </w:p>
          <w:p>
            <w:pPr>
              <w:jc w:val="center"/>
            </w:pPr>
            <w:r>
              <w:rPr>
                <w:b/>
                <w:sz w:val="21"/>
              </w:rPr>
              <w:t>1.2新兴县2023年度全国国土变更调查</w:t>
            </w:r>
          </w:p>
          <w:tbl>
            <w:tblPr>
              <w:tblBorders>
                <w:top w:val="none" w:color="000000" w:sz="4"/>
                <w:left w:val="none" w:color="000000" w:sz="4"/>
                <w:bottom w:val="none" w:color="000000" w:sz="4"/>
                <w:right w:val="none" w:color="000000" w:sz="4"/>
                <w:insideH w:val="none"/>
                <w:insideV w:val="none"/>
              </w:tblBorders>
            </w:tblPr>
            <w:tblGrid>
              <w:gridCol w:w="303"/>
              <w:gridCol w:w="887"/>
              <w:gridCol w:w="1773"/>
              <w:gridCol w:w="512"/>
              <w:gridCol w:w="646"/>
              <w:gridCol w:w="539"/>
              <w:gridCol w:w="938"/>
            </w:tblGrid>
            <w:tr>
              <w:tc>
                <w:tcPr>
                  <w:tcW w:type="dxa" w:w="303"/>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887"/>
                  <w:tcBorders>
                    <w:top w:val="single" w:color="000000" w:sz="4"/>
                    <w:left w:val="single" w:color="000000" w:sz="4"/>
                    <w:bottom w:val="single" w:color="000000" w:sz="4"/>
                    <w:right w:val="single" w:color="000000" w:sz="4"/>
                  </w:tcBorders>
                  <w:vAlign w:val="top"/>
                </w:tcPr>
                <w:p>
                  <w:pPr>
                    <w:jc w:val="center"/>
                  </w:pPr>
                  <w:r>
                    <w:rPr>
                      <w:b/>
                      <w:sz w:val="21"/>
                    </w:rPr>
                    <w:t>工作项</w:t>
                  </w:r>
                </w:p>
              </w:tc>
              <w:tc>
                <w:tcPr>
                  <w:tcW w:type="dxa" w:w="1773"/>
                  <w:tcBorders>
                    <w:top w:val="single" w:color="000000" w:sz="4"/>
                    <w:left w:val="single" w:color="000000" w:sz="4"/>
                    <w:bottom w:val="single" w:color="000000" w:sz="4"/>
                    <w:right w:val="single" w:color="000000" w:sz="4"/>
                  </w:tcBorders>
                  <w:vAlign w:val="top"/>
                </w:tcPr>
                <w:p>
                  <w:pPr>
                    <w:jc w:val="center"/>
                  </w:pPr>
                  <w:r>
                    <w:rPr>
                      <w:b/>
                      <w:sz w:val="21"/>
                    </w:rPr>
                    <w:t>工作内容</w:t>
                  </w:r>
                </w:p>
              </w:tc>
              <w:tc>
                <w:tcPr>
                  <w:tcW w:type="dxa" w:w="512"/>
                  <w:tcBorders>
                    <w:top w:val="single" w:color="000000" w:sz="4"/>
                    <w:left w:val="single" w:color="000000" w:sz="4"/>
                    <w:bottom w:val="single" w:color="000000" w:sz="4"/>
                    <w:right w:val="single" w:color="000000" w:sz="4"/>
                  </w:tcBorders>
                  <w:vAlign w:val="top"/>
                </w:tcPr>
                <w:p>
                  <w:pPr>
                    <w:jc w:val="center"/>
                  </w:pPr>
                  <w:r>
                    <w:rPr>
                      <w:b/>
                      <w:sz w:val="21"/>
                    </w:rPr>
                    <w:t>单位</w:t>
                  </w:r>
                </w:p>
              </w:tc>
              <w:tc>
                <w:tcPr>
                  <w:tcW w:type="dxa" w:w="646"/>
                  <w:tcBorders>
                    <w:top w:val="single" w:color="000000" w:sz="4"/>
                    <w:left w:val="single" w:color="000000" w:sz="4"/>
                    <w:bottom w:val="single" w:color="000000" w:sz="4"/>
                    <w:right w:val="single" w:color="000000" w:sz="4"/>
                  </w:tcBorders>
                  <w:vAlign w:val="top"/>
                </w:tcPr>
                <w:p>
                  <w:pPr>
                    <w:jc w:val="center"/>
                  </w:pPr>
                  <w:r>
                    <w:rPr>
                      <w:b/>
                      <w:sz w:val="21"/>
                    </w:rPr>
                    <w:t>工作量</w:t>
                  </w:r>
                </w:p>
              </w:tc>
              <w:tc>
                <w:tcPr>
                  <w:tcW w:type="dxa" w:w="539"/>
                  <w:tcBorders>
                    <w:top w:val="single" w:color="000000" w:sz="4"/>
                    <w:left w:val="single" w:color="000000" w:sz="4"/>
                    <w:bottom w:val="single" w:color="000000" w:sz="4"/>
                    <w:right w:val="single" w:color="000000" w:sz="4"/>
                  </w:tcBorders>
                  <w:vAlign w:val="top"/>
                </w:tcPr>
                <w:p>
                  <w:pPr>
                    <w:jc w:val="center"/>
                  </w:pPr>
                  <w:r>
                    <w:rPr>
                      <w:b/>
                      <w:sz w:val="21"/>
                    </w:rPr>
                    <w:t>单价最高限价</w:t>
                  </w:r>
                </w:p>
              </w:tc>
              <w:tc>
                <w:tcPr>
                  <w:tcW w:type="dxa" w:w="938"/>
                  <w:tcBorders>
                    <w:top w:val="single" w:color="000000" w:sz="4"/>
                    <w:left w:val="single" w:color="000000" w:sz="4"/>
                    <w:bottom w:val="single" w:color="000000" w:sz="4"/>
                    <w:right w:val="single" w:color="000000" w:sz="4"/>
                  </w:tcBorders>
                  <w:vAlign w:val="top"/>
                </w:tcPr>
                <w:p>
                  <w:pPr>
                    <w:jc w:val="center"/>
                  </w:pPr>
                  <w:r>
                    <w:rPr>
                      <w:b/>
                      <w:sz w:val="21"/>
                    </w:rPr>
                    <w:t>预算金额</w:t>
                  </w:r>
                </w:p>
              </w:tc>
            </w:tr>
            <w:tr>
              <w:tc>
                <w:tcPr>
                  <w:tcW w:type="dxa" w:w="303"/>
                  <w:tcBorders>
                    <w:top w:val="none" w:color="000000" w:sz="4"/>
                    <w:left w:val="single" w:color="000000" w:sz="4"/>
                    <w:bottom w:val="single" w:color="000000" w:sz="4"/>
                    <w:right w:val="single" w:color="000000" w:sz="4"/>
                  </w:tcBorders>
                  <w:vAlign w:val="top"/>
                </w:tcPr>
                <w:p>
                  <w:pPr>
                    <w:jc w:val="center"/>
                  </w:pPr>
                  <w:r>
                    <w:rPr>
                      <w:sz w:val="21"/>
                    </w:rPr>
                    <w:t>1</w:t>
                  </w:r>
                </w:p>
              </w:tc>
              <w:tc>
                <w:tcPr>
                  <w:tcW w:type="dxa" w:w="887"/>
                  <w:tcBorders>
                    <w:top w:val="none" w:color="000000" w:sz="4"/>
                    <w:left w:val="single" w:color="000000" w:sz="4"/>
                    <w:bottom w:val="single" w:color="000000" w:sz="4"/>
                    <w:right w:val="single" w:color="000000" w:sz="4"/>
                  </w:tcBorders>
                  <w:vAlign w:val="top"/>
                </w:tcPr>
                <w:p>
                  <w:pPr>
                    <w:jc w:val="center"/>
                  </w:pPr>
                  <w:r>
                    <w:rPr>
                      <w:sz w:val="21"/>
                    </w:rPr>
                    <w:t>资料收集、底图制作</w:t>
                  </w:r>
                </w:p>
              </w:tc>
              <w:tc>
                <w:tcPr>
                  <w:tcW w:type="dxa" w:w="1773"/>
                  <w:tcBorders>
                    <w:top w:val="none" w:color="000000" w:sz="4"/>
                    <w:left w:val="single" w:color="000000" w:sz="4"/>
                    <w:bottom w:val="single" w:color="000000" w:sz="4"/>
                    <w:right w:val="single" w:color="000000" w:sz="4"/>
                  </w:tcBorders>
                  <w:vAlign w:val="top"/>
                </w:tcPr>
                <w:p>
                  <w:r>
                    <w:rPr>
                      <w:sz w:val="21"/>
                    </w:rPr>
                    <w:t>资料收集、调查底图制作、输出</w:t>
                  </w:r>
                </w:p>
              </w:tc>
              <w:tc>
                <w:tcPr>
                  <w:tcW w:type="dxa" w:w="512"/>
                  <w:tcBorders>
                    <w:top w:val="none" w:color="000000" w:sz="4"/>
                    <w:left w:val="single" w:color="000000" w:sz="4"/>
                    <w:bottom w:val="single" w:color="000000" w:sz="4"/>
                    <w:right w:val="single" w:color="000000" w:sz="4"/>
                  </w:tcBorders>
                  <w:vAlign w:val="top"/>
                </w:tcPr>
                <w:p>
                  <w:pPr>
                    <w:jc w:val="center"/>
                  </w:pPr>
                  <w:r>
                    <w:rPr>
                      <w:sz w:val="21"/>
                    </w:rPr>
                    <w:t>项</w:t>
                  </w:r>
                </w:p>
              </w:tc>
              <w:tc>
                <w:tcPr>
                  <w:tcW w:type="dxa" w:w="646"/>
                  <w:tcBorders>
                    <w:top w:val="none" w:color="000000" w:sz="4"/>
                    <w:left w:val="single" w:color="000000" w:sz="4"/>
                    <w:bottom w:val="single" w:color="000000" w:sz="4"/>
                    <w:right w:val="single" w:color="000000" w:sz="4"/>
                  </w:tcBorders>
                  <w:vAlign w:val="top"/>
                </w:tcPr>
                <w:p>
                  <w:pPr>
                    <w:jc w:val="center"/>
                  </w:pPr>
                  <w:r>
                    <w:rPr>
                      <w:sz w:val="21"/>
                    </w:rPr>
                    <w:t>1</w:t>
                  </w:r>
                </w:p>
              </w:tc>
              <w:tc>
                <w:tcPr>
                  <w:tcW w:type="dxa" w:w="539"/>
                  <w:tcBorders>
                    <w:top w:val="none" w:color="000000" w:sz="4"/>
                    <w:left w:val="single" w:color="000000" w:sz="4"/>
                    <w:bottom w:val="single" w:color="000000" w:sz="4"/>
                    <w:right w:val="single" w:color="000000" w:sz="4"/>
                  </w:tcBorders>
                  <w:vAlign w:val="top"/>
                </w:tcPr>
                <w:p>
                  <w:pPr>
                    <w:jc w:val="center"/>
                  </w:pPr>
                  <w:r>
                    <w:rPr>
                      <w:sz w:val="21"/>
                    </w:rPr>
                    <w:t>/</w:t>
                  </w:r>
                </w:p>
              </w:tc>
              <w:tc>
                <w:tcPr>
                  <w:tcW w:type="dxa" w:w="938"/>
                  <w:tcBorders>
                    <w:top w:val="none" w:color="000000" w:sz="4"/>
                    <w:left w:val="single" w:color="000000" w:sz="4"/>
                    <w:bottom w:val="single" w:color="000000" w:sz="4"/>
                    <w:right w:val="single" w:color="000000" w:sz="4"/>
                  </w:tcBorders>
                  <w:vAlign w:val="top"/>
                </w:tcPr>
                <w:p>
                  <w:pPr>
                    <w:jc w:val="center"/>
                  </w:pPr>
                  <w:r>
                    <w:rPr>
                      <w:sz w:val="21"/>
                    </w:rPr>
                    <w:t>/</w:t>
                  </w:r>
                </w:p>
              </w:tc>
            </w:tr>
            <w:tr>
              <w:tc>
                <w:tcPr>
                  <w:tcW w:type="dxa" w:w="303"/>
                  <w:tcBorders>
                    <w:top w:val="none" w:color="000000" w:sz="4"/>
                    <w:left w:val="single" w:color="000000" w:sz="4"/>
                    <w:bottom w:val="single" w:color="000000" w:sz="4"/>
                    <w:right w:val="single" w:color="000000" w:sz="4"/>
                  </w:tcBorders>
                  <w:vAlign w:val="top"/>
                </w:tcPr>
                <w:p>
                  <w:pPr>
                    <w:jc w:val="center"/>
                  </w:pPr>
                  <w:r>
                    <w:rPr>
                      <w:sz w:val="21"/>
                    </w:rPr>
                    <w:t>2</w:t>
                  </w:r>
                </w:p>
              </w:tc>
              <w:tc>
                <w:tcPr>
                  <w:tcW w:type="dxa" w:w="887"/>
                  <w:tcBorders>
                    <w:top w:val="none" w:color="000000" w:sz="4"/>
                    <w:left w:val="single" w:color="000000" w:sz="4"/>
                    <w:bottom w:val="single" w:color="000000" w:sz="4"/>
                    <w:right w:val="single" w:color="000000" w:sz="4"/>
                  </w:tcBorders>
                  <w:vAlign w:val="top"/>
                </w:tcPr>
                <w:p>
                  <w:pPr>
                    <w:jc w:val="center"/>
                  </w:pPr>
                  <w:r>
                    <w:rPr>
                      <w:sz w:val="21"/>
                    </w:rPr>
                    <w:t>外业调查、实地举证</w:t>
                  </w:r>
                </w:p>
              </w:tc>
              <w:tc>
                <w:tcPr>
                  <w:tcW w:type="dxa" w:w="1773"/>
                  <w:tcBorders>
                    <w:top w:val="none" w:color="000000" w:sz="4"/>
                    <w:left w:val="single" w:color="000000" w:sz="4"/>
                    <w:bottom w:val="single" w:color="000000" w:sz="4"/>
                    <w:right w:val="single" w:color="000000" w:sz="4"/>
                  </w:tcBorders>
                  <w:vAlign w:val="top"/>
                </w:tcPr>
                <w:p>
                  <w:r>
                    <w:rPr>
                      <w:sz w:val="21"/>
                    </w:rPr>
                    <w:t>外业实地核查举证。根据</w:t>
                  </w:r>
                  <w:r>
                    <w:rPr>
                      <w:sz w:val="21"/>
                    </w:rPr>
                    <w:t>2021和2022年变更调查工作量，预计2023年度外业核查举证图斑2320个</w:t>
                  </w:r>
                </w:p>
              </w:tc>
              <w:tc>
                <w:tcPr>
                  <w:tcW w:type="dxa" w:w="512"/>
                  <w:tcBorders>
                    <w:top w:val="none" w:color="000000" w:sz="4"/>
                    <w:left w:val="single" w:color="000000" w:sz="4"/>
                    <w:bottom w:val="single" w:color="000000" w:sz="4"/>
                    <w:right w:val="single" w:color="000000" w:sz="4"/>
                  </w:tcBorders>
                  <w:vAlign w:val="top"/>
                </w:tcPr>
                <w:p>
                  <w:pPr>
                    <w:jc w:val="center"/>
                  </w:pPr>
                  <w:r>
                    <w:rPr>
                      <w:sz w:val="21"/>
                    </w:rPr>
                    <w:t>个（图斑）</w:t>
                  </w:r>
                </w:p>
              </w:tc>
              <w:tc>
                <w:tcPr>
                  <w:tcW w:type="dxa" w:w="646"/>
                  <w:tcBorders>
                    <w:top w:val="none" w:color="000000" w:sz="4"/>
                    <w:left w:val="single" w:color="000000" w:sz="4"/>
                    <w:bottom w:val="single" w:color="000000" w:sz="4"/>
                    <w:right w:val="single" w:color="000000" w:sz="4"/>
                  </w:tcBorders>
                  <w:vAlign w:val="top"/>
                </w:tcPr>
                <w:p>
                  <w:pPr>
                    <w:jc w:val="center"/>
                  </w:pPr>
                  <w:r>
                    <w:rPr>
                      <w:sz w:val="21"/>
                    </w:rPr>
                    <w:t>预估数：</w:t>
                  </w:r>
                  <w:r>
                    <w:rPr>
                      <w:sz w:val="21"/>
                    </w:rPr>
                    <w:t>2320</w:t>
                  </w:r>
                </w:p>
              </w:tc>
              <w:tc>
                <w:tcPr>
                  <w:tcW w:type="dxa" w:w="539"/>
                  <w:tcBorders>
                    <w:top w:val="none" w:color="000000" w:sz="4"/>
                    <w:left w:val="single" w:color="000000" w:sz="4"/>
                    <w:bottom w:val="single" w:color="000000" w:sz="4"/>
                    <w:right w:val="single" w:color="000000" w:sz="4"/>
                  </w:tcBorders>
                  <w:vAlign w:val="top"/>
                </w:tcPr>
                <w:p>
                  <w:pPr>
                    <w:jc w:val="center"/>
                  </w:pPr>
                  <w:r>
                    <w:rPr>
                      <w:sz w:val="21"/>
                    </w:rPr>
                    <w:t>100元/个</w:t>
                  </w:r>
                </w:p>
              </w:tc>
              <w:tc>
                <w:tcPr>
                  <w:tcW w:type="dxa" w:w="938"/>
                  <w:tcBorders>
                    <w:top w:val="none" w:color="000000" w:sz="4"/>
                    <w:left w:val="single" w:color="000000" w:sz="4"/>
                    <w:bottom w:val="single" w:color="000000" w:sz="4"/>
                    <w:right w:val="single" w:color="000000" w:sz="4"/>
                  </w:tcBorders>
                  <w:vAlign w:val="top"/>
                </w:tcPr>
                <w:p>
                  <w:pPr>
                    <w:jc w:val="center"/>
                  </w:pPr>
                  <w:r>
                    <w:rPr>
                      <w:sz w:val="21"/>
                    </w:rPr>
                    <w:t>232000.00元</w:t>
                  </w:r>
                </w:p>
              </w:tc>
            </w:tr>
            <w:tr>
              <w:tc>
                <w:tcPr>
                  <w:tcW w:type="dxa" w:w="303"/>
                  <w:tcBorders>
                    <w:top w:val="none" w:color="000000" w:sz="4"/>
                    <w:left w:val="single" w:color="000000" w:sz="4"/>
                    <w:bottom w:val="single" w:color="000000" w:sz="4"/>
                    <w:right w:val="single" w:color="000000" w:sz="4"/>
                  </w:tcBorders>
                  <w:vAlign w:val="top"/>
                </w:tcPr>
                <w:p>
                  <w:pPr>
                    <w:jc w:val="center"/>
                  </w:pPr>
                  <w:r>
                    <w:rPr>
                      <w:sz w:val="21"/>
                    </w:rPr>
                    <w:t>3</w:t>
                  </w:r>
                </w:p>
              </w:tc>
              <w:tc>
                <w:tcPr>
                  <w:tcW w:type="dxa" w:w="887"/>
                  <w:tcBorders>
                    <w:top w:val="none" w:color="000000" w:sz="4"/>
                    <w:left w:val="single" w:color="000000" w:sz="4"/>
                    <w:bottom w:val="single" w:color="000000" w:sz="4"/>
                    <w:right w:val="single" w:color="000000" w:sz="4"/>
                  </w:tcBorders>
                  <w:vAlign w:val="top"/>
                </w:tcPr>
                <w:p>
                  <w:pPr>
                    <w:jc w:val="center"/>
                  </w:pPr>
                  <w:r>
                    <w:rPr>
                      <w:sz w:val="21"/>
                    </w:rPr>
                    <w:t>调查成果分析、统计</w:t>
                  </w:r>
                </w:p>
              </w:tc>
              <w:tc>
                <w:tcPr>
                  <w:tcW w:type="dxa" w:w="1773"/>
                  <w:tcBorders>
                    <w:top w:val="none" w:color="000000" w:sz="4"/>
                    <w:left w:val="single" w:color="000000" w:sz="4"/>
                    <w:bottom w:val="single" w:color="000000" w:sz="4"/>
                    <w:right w:val="single" w:color="000000" w:sz="4"/>
                  </w:tcBorders>
                  <w:vAlign w:val="top"/>
                </w:tcPr>
                <w:p>
                  <w:r>
                    <w:rPr>
                      <w:sz w:val="21"/>
                    </w:rPr>
                    <w:t>调查成果与图斑分析、汇总统计</w:t>
                  </w:r>
                </w:p>
              </w:tc>
              <w:tc>
                <w:tcPr>
                  <w:tcW w:type="dxa" w:w="512"/>
                  <w:tcBorders>
                    <w:top w:val="none" w:color="000000" w:sz="4"/>
                    <w:left w:val="single" w:color="000000" w:sz="4"/>
                    <w:bottom w:val="single" w:color="000000" w:sz="4"/>
                    <w:right w:val="single" w:color="000000" w:sz="4"/>
                  </w:tcBorders>
                  <w:vAlign w:val="top"/>
                </w:tcPr>
                <w:p>
                  <w:pPr>
                    <w:jc w:val="center"/>
                  </w:pPr>
                  <w:r>
                    <w:rPr>
                      <w:sz w:val="21"/>
                    </w:rPr>
                    <w:t>项</w:t>
                  </w:r>
                </w:p>
              </w:tc>
              <w:tc>
                <w:tcPr>
                  <w:tcW w:type="dxa" w:w="646"/>
                  <w:tcBorders>
                    <w:top w:val="none" w:color="000000" w:sz="4"/>
                    <w:left w:val="single" w:color="000000" w:sz="4"/>
                    <w:bottom w:val="single" w:color="000000" w:sz="4"/>
                    <w:right w:val="single" w:color="000000" w:sz="4"/>
                  </w:tcBorders>
                  <w:vAlign w:val="top"/>
                </w:tcPr>
                <w:p>
                  <w:pPr>
                    <w:jc w:val="center"/>
                  </w:pPr>
                  <w:r>
                    <w:rPr>
                      <w:sz w:val="21"/>
                    </w:rPr>
                    <w:t>1</w:t>
                  </w:r>
                </w:p>
              </w:tc>
              <w:tc>
                <w:tcPr>
                  <w:tcW w:type="dxa" w:w="539"/>
                  <w:tcBorders>
                    <w:top w:val="none" w:color="000000" w:sz="4"/>
                    <w:left w:val="single" w:color="000000" w:sz="4"/>
                    <w:bottom w:val="single" w:color="000000" w:sz="4"/>
                    <w:right w:val="single" w:color="000000" w:sz="4"/>
                  </w:tcBorders>
                  <w:vAlign w:val="top"/>
                </w:tcPr>
                <w:p>
                  <w:pPr>
                    <w:jc w:val="center"/>
                  </w:pPr>
                  <w:r>
                    <w:rPr>
                      <w:sz w:val="21"/>
                    </w:rPr>
                    <w:t>/</w:t>
                  </w:r>
                </w:p>
              </w:tc>
              <w:tc>
                <w:tcPr>
                  <w:tcW w:type="dxa" w:w="938"/>
                  <w:vMerge w:val="restart"/>
                  <w:tcBorders>
                    <w:top w:val="none" w:color="000000" w:sz="4"/>
                    <w:left w:val="single" w:color="000000" w:sz="4"/>
                    <w:bottom w:val="single" w:color="000000" w:sz="4"/>
                    <w:right w:val="single" w:color="000000" w:sz="4"/>
                  </w:tcBorders>
                  <w:vAlign w:val="top"/>
                </w:tcPr>
                <w:p>
                  <w:pPr>
                    <w:jc w:val="center"/>
                  </w:pPr>
                  <w:r>
                    <w:rPr>
                      <w:sz w:val="21"/>
                    </w:rPr>
                    <w:t>150000.00元</w:t>
                  </w:r>
                </w:p>
                <w:p>
                  <w:pPr>
                    <w:jc w:val="center"/>
                  </w:pPr>
                  <w:r>
                    <w:rPr>
                      <w:sz w:val="21"/>
                    </w:rPr>
                    <w:t>（包含</w:t>
                  </w:r>
                  <w:r>
                    <w:rPr>
                      <w:sz w:val="21"/>
                    </w:rPr>
                    <w:t>“资料收集、底图制作”工作项的预算金额）</w:t>
                  </w:r>
                </w:p>
              </w:tc>
            </w:tr>
            <w:tr>
              <w:tc>
                <w:tcPr>
                  <w:tcW w:type="dxa" w:w="303"/>
                  <w:tcBorders>
                    <w:top w:val="none" w:color="000000" w:sz="4"/>
                    <w:left w:val="single" w:color="000000" w:sz="4"/>
                    <w:bottom w:val="single" w:color="000000" w:sz="4"/>
                    <w:right w:val="single" w:color="000000" w:sz="4"/>
                  </w:tcBorders>
                  <w:vAlign w:val="top"/>
                </w:tcPr>
                <w:p>
                  <w:pPr>
                    <w:jc w:val="center"/>
                  </w:pPr>
                  <w:r>
                    <w:rPr>
                      <w:sz w:val="21"/>
                    </w:rPr>
                    <w:t>4</w:t>
                  </w:r>
                </w:p>
              </w:tc>
              <w:tc>
                <w:tcPr>
                  <w:tcW w:type="dxa" w:w="887"/>
                  <w:tcBorders>
                    <w:top w:val="none" w:color="000000" w:sz="4"/>
                    <w:left w:val="single" w:color="000000" w:sz="4"/>
                    <w:bottom w:val="single" w:color="000000" w:sz="4"/>
                    <w:right w:val="single" w:color="000000" w:sz="4"/>
                  </w:tcBorders>
                  <w:vAlign w:val="top"/>
                </w:tcPr>
                <w:p>
                  <w:pPr>
                    <w:jc w:val="center"/>
                  </w:pPr>
                  <w:r>
                    <w:rPr>
                      <w:sz w:val="21"/>
                    </w:rPr>
                    <w:t>资料整理及上报</w:t>
                  </w:r>
                </w:p>
              </w:tc>
              <w:tc>
                <w:tcPr>
                  <w:tcW w:type="dxa" w:w="1773"/>
                  <w:tcBorders>
                    <w:top w:val="none" w:color="000000" w:sz="4"/>
                    <w:left w:val="single" w:color="000000" w:sz="4"/>
                    <w:bottom w:val="single" w:color="000000" w:sz="4"/>
                    <w:right w:val="single" w:color="000000" w:sz="4"/>
                  </w:tcBorders>
                  <w:vAlign w:val="top"/>
                </w:tcPr>
                <w:p>
                  <w:r>
                    <w:rPr>
                      <w:sz w:val="21"/>
                    </w:rPr>
                    <w:t>调查成果资料整理及上报。对省级初审意见如有异议，组织有关证明材料，到广东省自然资源厅现场举证；如发现其他错误问题（如五保、系统操作失误等），组织纠错材料，到广东省自然资源厅现场修改</w:t>
                  </w:r>
                </w:p>
              </w:tc>
              <w:tc>
                <w:tcPr>
                  <w:tcW w:type="dxa" w:w="512"/>
                  <w:tcBorders>
                    <w:top w:val="none" w:color="000000" w:sz="4"/>
                    <w:left w:val="single" w:color="000000" w:sz="4"/>
                    <w:bottom w:val="single" w:color="000000" w:sz="4"/>
                    <w:right w:val="single" w:color="000000" w:sz="4"/>
                  </w:tcBorders>
                  <w:vAlign w:val="top"/>
                </w:tcPr>
                <w:p>
                  <w:pPr>
                    <w:jc w:val="center"/>
                  </w:pPr>
                  <w:r>
                    <w:rPr>
                      <w:sz w:val="21"/>
                    </w:rPr>
                    <w:t>项</w:t>
                  </w:r>
                </w:p>
              </w:tc>
              <w:tc>
                <w:tcPr>
                  <w:tcW w:type="dxa" w:w="646"/>
                  <w:tcBorders>
                    <w:top w:val="none" w:color="000000" w:sz="4"/>
                    <w:left w:val="single" w:color="000000" w:sz="4"/>
                    <w:bottom w:val="single" w:color="000000" w:sz="4"/>
                    <w:right w:val="single" w:color="000000" w:sz="4"/>
                  </w:tcBorders>
                  <w:vAlign w:val="top"/>
                </w:tcPr>
                <w:p>
                  <w:pPr>
                    <w:jc w:val="center"/>
                  </w:pPr>
                  <w:r>
                    <w:rPr>
                      <w:sz w:val="21"/>
                    </w:rPr>
                    <w:t>1</w:t>
                  </w:r>
                </w:p>
              </w:tc>
              <w:tc>
                <w:tcPr>
                  <w:tcW w:type="dxa" w:w="539"/>
                  <w:tcBorders>
                    <w:top w:val="none" w:color="000000" w:sz="4"/>
                    <w:left w:val="single" w:color="000000" w:sz="4"/>
                    <w:bottom w:val="single" w:color="000000" w:sz="4"/>
                    <w:right w:val="single" w:color="000000" w:sz="4"/>
                  </w:tcBorders>
                  <w:vAlign w:val="top"/>
                </w:tcPr>
                <w:p>
                  <w:pPr>
                    <w:jc w:val="center"/>
                  </w:pPr>
                  <w:r>
                    <w:rPr>
                      <w:sz w:val="21"/>
                    </w:rPr>
                    <w:t>/</w:t>
                  </w:r>
                </w:p>
              </w:tc>
            </w:tr>
            <w:tr>
              <w:tc>
                <w:tcPr>
                  <w:tcW w:type="dxa" w:w="303"/>
                  <w:tcBorders>
                    <w:top w:val="none" w:color="000000" w:sz="4"/>
                    <w:left w:val="single" w:color="000000" w:sz="4"/>
                    <w:bottom w:val="single" w:color="000000" w:sz="4"/>
                    <w:right w:val="single" w:color="000000" w:sz="4"/>
                  </w:tcBorders>
                  <w:vAlign w:val="top"/>
                </w:tcPr>
                <w:p>
                  <w:pPr>
                    <w:jc w:val="center"/>
                  </w:pPr>
                  <w:r>
                    <w:rPr>
                      <w:sz w:val="21"/>
                    </w:rPr>
                    <w:t>5</w:t>
                  </w:r>
                </w:p>
              </w:tc>
              <w:tc>
                <w:tcPr>
                  <w:tcW w:type="dxa" w:w="887"/>
                  <w:tcBorders>
                    <w:top w:val="none" w:color="000000" w:sz="4"/>
                    <w:left w:val="single" w:color="000000" w:sz="4"/>
                    <w:bottom w:val="single" w:color="000000" w:sz="4"/>
                    <w:right w:val="single" w:color="000000" w:sz="4"/>
                  </w:tcBorders>
                  <w:vAlign w:val="top"/>
                </w:tcPr>
                <w:p>
                  <w:pPr>
                    <w:jc w:val="center"/>
                  </w:pPr>
                  <w:r>
                    <w:rPr>
                      <w:sz w:val="21"/>
                    </w:rPr>
                    <w:t>数据处理</w:t>
                  </w:r>
                </w:p>
              </w:tc>
              <w:tc>
                <w:tcPr>
                  <w:tcW w:type="dxa" w:w="1773"/>
                  <w:tcBorders>
                    <w:top w:val="none" w:color="000000" w:sz="4"/>
                    <w:left w:val="single" w:color="000000" w:sz="4"/>
                    <w:bottom w:val="single" w:color="000000" w:sz="4"/>
                    <w:right w:val="single" w:color="000000" w:sz="4"/>
                  </w:tcBorders>
                  <w:vAlign w:val="top"/>
                </w:tcPr>
                <w:p>
                  <w:r>
                    <w:rPr>
                      <w:sz w:val="21"/>
                    </w:rPr>
                    <w:t>根据省级图斑终审意见，对变更调查数据进行图斑分割、修改、数据录入等处理</w:t>
                  </w:r>
                </w:p>
              </w:tc>
              <w:tc>
                <w:tcPr>
                  <w:tcW w:type="dxa" w:w="512"/>
                  <w:tcBorders>
                    <w:top w:val="none" w:color="000000" w:sz="4"/>
                    <w:left w:val="single" w:color="000000" w:sz="4"/>
                    <w:bottom w:val="single" w:color="000000" w:sz="4"/>
                    <w:right w:val="single" w:color="000000" w:sz="4"/>
                  </w:tcBorders>
                  <w:vAlign w:val="top"/>
                </w:tcPr>
                <w:p>
                  <w:pPr>
                    <w:jc w:val="center"/>
                  </w:pPr>
                  <w:r>
                    <w:rPr>
                      <w:sz w:val="21"/>
                    </w:rPr>
                    <w:t>项</w:t>
                  </w:r>
                </w:p>
              </w:tc>
              <w:tc>
                <w:tcPr>
                  <w:tcW w:type="dxa" w:w="646"/>
                  <w:tcBorders>
                    <w:top w:val="none" w:color="000000" w:sz="4"/>
                    <w:left w:val="single" w:color="000000" w:sz="4"/>
                    <w:bottom w:val="single" w:color="000000" w:sz="4"/>
                    <w:right w:val="single" w:color="000000" w:sz="4"/>
                  </w:tcBorders>
                  <w:vAlign w:val="top"/>
                </w:tcPr>
                <w:p>
                  <w:pPr>
                    <w:jc w:val="center"/>
                  </w:pPr>
                  <w:r>
                    <w:rPr>
                      <w:sz w:val="21"/>
                    </w:rPr>
                    <w:t>1</w:t>
                  </w:r>
                </w:p>
              </w:tc>
              <w:tc>
                <w:tcPr>
                  <w:tcW w:type="dxa" w:w="539"/>
                  <w:tcBorders>
                    <w:top w:val="none" w:color="000000" w:sz="4"/>
                    <w:left w:val="single" w:color="000000" w:sz="4"/>
                    <w:bottom w:val="single" w:color="000000" w:sz="4"/>
                    <w:right w:val="single" w:color="000000" w:sz="4"/>
                  </w:tcBorders>
                  <w:vAlign w:val="top"/>
                </w:tcPr>
                <w:p>
                  <w:pPr>
                    <w:jc w:val="center"/>
                  </w:pPr>
                  <w:r>
                    <w:rPr>
                      <w:sz w:val="21"/>
                    </w:rPr>
                    <w:t>/</w:t>
                  </w:r>
                </w:p>
              </w:tc>
            </w:tr>
            <w:tr>
              <w:tc>
                <w:tcPr>
                  <w:tcW w:type="dxa" w:w="303"/>
                  <w:tcBorders>
                    <w:top w:val="none" w:color="000000" w:sz="4"/>
                    <w:left w:val="single" w:color="000000" w:sz="4"/>
                    <w:bottom w:val="single" w:color="000000" w:sz="4"/>
                    <w:right w:val="single" w:color="000000" w:sz="4"/>
                  </w:tcBorders>
                  <w:vAlign w:val="top"/>
                </w:tcPr>
                <w:p>
                  <w:pPr>
                    <w:jc w:val="center"/>
                  </w:pPr>
                  <w:r>
                    <w:rPr>
                      <w:sz w:val="21"/>
                    </w:rPr>
                    <w:t>6</w:t>
                  </w:r>
                </w:p>
              </w:tc>
              <w:tc>
                <w:tcPr>
                  <w:tcW w:type="dxa" w:w="887"/>
                  <w:tcBorders>
                    <w:top w:val="none" w:color="000000" w:sz="4"/>
                    <w:left w:val="single" w:color="000000" w:sz="4"/>
                    <w:bottom w:val="single" w:color="000000" w:sz="4"/>
                    <w:right w:val="single" w:color="000000" w:sz="4"/>
                  </w:tcBorders>
                  <w:vAlign w:val="top"/>
                </w:tcPr>
                <w:p>
                  <w:pPr>
                    <w:jc w:val="center"/>
                  </w:pPr>
                  <w:r>
                    <w:rPr>
                      <w:sz w:val="21"/>
                    </w:rPr>
                    <w:t>增量数据生成</w:t>
                  </w:r>
                </w:p>
              </w:tc>
              <w:tc>
                <w:tcPr>
                  <w:tcW w:type="dxa" w:w="1773"/>
                  <w:tcBorders>
                    <w:top w:val="none" w:color="000000" w:sz="4"/>
                    <w:left w:val="single" w:color="000000" w:sz="4"/>
                    <w:bottom w:val="single" w:color="000000" w:sz="4"/>
                    <w:right w:val="single" w:color="000000" w:sz="4"/>
                  </w:tcBorders>
                  <w:vAlign w:val="top"/>
                </w:tcPr>
                <w:p>
                  <w:r>
                    <w:rPr>
                      <w:sz w:val="21"/>
                    </w:rPr>
                    <w:t>采用土地变更调查软件，生成年度增量数据及变更调查统计报表</w:t>
                  </w:r>
                </w:p>
              </w:tc>
              <w:tc>
                <w:tcPr>
                  <w:tcW w:type="dxa" w:w="512"/>
                  <w:tcBorders>
                    <w:top w:val="none" w:color="000000" w:sz="4"/>
                    <w:left w:val="single" w:color="000000" w:sz="4"/>
                    <w:bottom w:val="single" w:color="000000" w:sz="4"/>
                    <w:right w:val="single" w:color="000000" w:sz="4"/>
                  </w:tcBorders>
                  <w:vAlign w:val="top"/>
                </w:tcPr>
                <w:p>
                  <w:pPr>
                    <w:jc w:val="center"/>
                  </w:pPr>
                  <w:r>
                    <w:rPr>
                      <w:sz w:val="21"/>
                    </w:rPr>
                    <w:t>项</w:t>
                  </w:r>
                </w:p>
              </w:tc>
              <w:tc>
                <w:tcPr>
                  <w:tcW w:type="dxa" w:w="646"/>
                  <w:tcBorders>
                    <w:top w:val="none" w:color="000000" w:sz="4"/>
                    <w:left w:val="single" w:color="000000" w:sz="4"/>
                    <w:bottom w:val="single" w:color="000000" w:sz="4"/>
                    <w:right w:val="single" w:color="000000" w:sz="4"/>
                  </w:tcBorders>
                  <w:vAlign w:val="top"/>
                </w:tcPr>
                <w:p>
                  <w:pPr>
                    <w:jc w:val="center"/>
                  </w:pPr>
                  <w:r>
                    <w:rPr>
                      <w:sz w:val="21"/>
                    </w:rPr>
                    <w:t>1</w:t>
                  </w:r>
                </w:p>
              </w:tc>
              <w:tc>
                <w:tcPr>
                  <w:tcW w:type="dxa" w:w="539"/>
                  <w:tcBorders>
                    <w:top w:val="none" w:color="000000" w:sz="4"/>
                    <w:left w:val="single" w:color="000000" w:sz="4"/>
                    <w:bottom w:val="single" w:color="000000" w:sz="4"/>
                    <w:right w:val="single" w:color="000000" w:sz="4"/>
                  </w:tcBorders>
                  <w:vAlign w:val="top"/>
                </w:tcPr>
                <w:p>
                  <w:pPr>
                    <w:jc w:val="center"/>
                  </w:pPr>
                  <w:r>
                    <w:rPr>
                      <w:sz w:val="21"/>
                    </w:rPr>
                    <w:t>/</w:t>
                  </w:r>
                </w:p>
              </w:tc>
            </w:tr>
            <w:tr>
              <w:tc>
                <w:tcPr>
                  <w:tcW w:type="dxa" w:w="303"/>
                  <w:tcBorders>
                    <w:top w:val="none" w:color="000000" w:sz="4"/>
                    <w:left w:val="single" w:color="000000" w:sz="4"/>
                    <w:bottom w:val="single" w:color="000000" w:sz="4"/>
                    <w:right w:val="single" w:color="000000" w:sz="4"/>
                  </w:tcBorders>
                  <w:vAlign w:val="top"/>
                </w:tcPr>
                <w:p>
                  <w:pPr>
                    <w:jc w:val="center"/>
                  </w:pPr>
                  <w:r>
                    <w:rPr>
                      <w:sz w:val="21"/>
                    </w:rPr>
                    <w:t>7</w:t>
                  </w:r>
                </w:p>
              </w:tc>
              <w:tc>
                <w:tcPr>
                  <w:tcW w:type="dxa" w:w="887"/>
                  <w:tcBorders>
                    <w:top w:val="none" w:color="000000" w:sz="4"/>
                    <w:left w:val="single" w:color="000000" w:sz="4"/>
                    <w:bottom w:val="single" w:color="000000" w:sz="4"/>
                    <w:right w:val="single" w:color="000000" w:sz="4"/>
                  </w:tcBorders>
                  <w:vAlign w:val="top"/>
                </w:tcPr>
                <w:p>
                  <w:pPr>
                    <w:jc w:val="center"/>
                  </w:pPr>
                  <w:r>
                    <w:rPr>
                      <w:sz w:val="21"/>
                    </w:rPr>
                    <w:t>更新数据包生成与检查</w:t>
                  </w:r>
                </w:p>
              </w:tc>
              <w:tc>
                <w:tcPr>
                  <w:tcW w:type="dxa" w:w="1773"/>
                  <w:tcBorders>
                    <w:top w:val="none" w:color="000000" w:sz="4"/>
                    <w:left w:val="single" w:color="000000" w:sz="4"/>
                    <w:bottom w:val="single" w:color="000000" w:sz="4"/>
                    <w:right w:val="single" w:color="000000" w:sz="4"/>
                  </w:tcBorders>
                  <w:vAlign w:val="top"/>
                </w:tcPr>
                <w:p>
                  <w:r>
                    <w:rPr>
                      <w:sz w:val="21"/>
                    </w:rPr>
                    <w:t>采用国家统一下发的更新数据上报软件生成更新数据包，并利用该软件开展更新数据包与</w:t>
                  </w:r>
                  <w:r>
                    <w:rPr>
                      <w:sz w:val="21"/>
                    </w:rPr>
                    <w:t>2021年度调查数据库、2021年度部套合的管理信息图层校核，以及数据质量检查工作。更新数据包必须完全通过更新数据上报检查，确保数据成果无误</w:t>
                  </w:r>
                </w:p>
              </w:tc>
              <w:tc>
                <w:tcPr>
                  <w:tcW w:type="dxa" w:w="512"/>
                  <w:tcBorders>
                    <w:top w:val="none" w:color="000000" w:sz="4"/>
                    <w:left w:val="single" w:color="000000" w:sz="4"/>
                    <w:bottom w:val="single" w:color="000000" w:sz="4"/>
                    <w:right w:val="single" w:color="000000" w:sz="4"/>
                  </w:tcBorders>
                  <w:vAlign w:val="top"/>
                </w:tcPr>
                <w:p>
                  <w:pPr>
                    <w:jc w:val="center"/>
                  </w:pPr>
                  <w:r>
                    <w:rPr>
                      <w:sz w:val="21"/>
                    </w:rPr>
                    <w:t>项</w:t>
                  </w:r>
                </w:p>
              </w:tc>
              <w:tc>
                <w:tcPr>
                  <w:tcW w:type="dxa" w:w="646"/>
                  <w:tcBorders>
                    <w:top w:val="none" w:color="000000" w:sz="4"/>
                    <w:left w:val="single" w:color="000000" w:sz="4"/>
                    <w:bottom w:val="single" w:color="000000" w:sz="4"/>
                    <w:right w:val="single" w:color="000000" w:sz="4"/>
                  </w:tcBorders>
                  <w:vAlign w:val="top"/>
                </w:tcPr>
                <w:p>
                  <w:pPr>
                    <w:jc w:val="center"/>
                  </w:pPr>
                  <w:r>
                    <w:rPr>
                      <w:sz w:val="21"/>
                    </w:rPr>
                    <w:t>1</w:t>
                  </w:r>
                </w:p>
              </w:tc>
              <w:tc>
                <w:tcPr>
                  <w:tcW w:type="dxa" w:w="539"/>
                  <w:tcBorders>
                    <w:top w:val="none" w:color="000000" w:sz="4"/>
                    <w:left w:val="single" w:color="000000" w:sz="4"/>
                    <w:bottom w:val="single" w:color="000000" w:sz="4"/>
                    <w:right w:val="single" w:color="000000" w:sz="4"/>
                  </w:tcBorders>
                  <w:vAlign w:val="top"/>
                </w:tcPr>
                <w:p>
                  <w:pPr>
                    <w:jc w:val="center"/>
                  </w:pPr>
                  <w:r>
                    <w:rPr>
                      <w:sz w:val="21"/>
                    </w:rPr>
                    <w:t>/</w:t>
                  </w:r>
                </w:p>
              </w:tc>
            </w:tr>
            <w:tr>
              <w:tc>
                <w:tcPr>
                  <w:tcW w:type="dxa" w:w="303"/>
                  <w:vMerge w:val="restart"/>
                  <w:tcBorders>
                    <w:top w:val="none" w:color="000000" w:sz="4"/>
                    <w:left w:val="single" w:color="000000" w:sz="4"/>
                    <w:bottom w:val="single" w:color="000000" w:sz="4"/>
                    <w:right w:val="single" w:color="000000" w:sz="4"/>
                  </w:tcBorders>
                  <w:vAlign w:val="top"/>
                </w:tcPr>
                <w:p>
                  <w:pPr>
                    <w:jc w:val="center"/>
                  </w:pPr>
                  <w:r>
                    <w:rPr>
                      <w:sz w:val="21"/>
                    </w:rPr>
                    <w:t>8</w:t>
                  </w:r>
                </w:p>
              </w:tc>
              <w:tc>
                <w:tcPr>
                  <w:tcW w:type="dxa" w:w="887"/>
                  <w:vMerge w:val="restart"/>
                  <w:tcBorders>
                    <w:top w:val="none" w:color="000000" w:sz="4"/>
                    <w:left w:val="single" w:color="000000" w:sz="4"/>
                    <w:bottom w:val="single" w:color="000000" w:sz="4"/>
                    <w:right w:val="single" w:color="000000" w:sz="4"/>
                  </w:tcBorders>
                  <w:vAlign w:val="top"/>
                </w:tcPr>
                <w:p>
                  <w:pPr>
                    <w:jc w:val="center"/>
                  </w:pPr>
                  <w:r>
                    <w:rPr>
                      <w:sz w:val="21"/>
                    </w:rPr>
                    <w:t>成果形成、上报与修改</w:t>
                  </w:r>
                </w:p>
              </w:tc>
              <w:tc>
                <w:tcPr>
                  <w:tcW w:type="dxa" w:w="1773"/>
                  <w:tcBorders>
                    <w:top w:val="none" w:color="000000" w:sz="4"/>
                    <w:left w:val="single" w:color="000000" w:sz="4"/>
                    <w:bottom w:val="single" w:color="000000" w:sz="4"/>
                    <w:right w:val="single" w:color="000000" w:sz="4"/>
                  </w:tcBorders>
                  <w:vAlign w:val="top"/>
                </w:tcPr>
                <w:p>
                  <w:r>
                    <w:rPr>
                      <w:sz w:val="21"/>
                    </w:rPr>
                    <w:t>利用土地利用变更调查软件，汇总县级土地利用变化情况，编制土地利用变化情况分析报告，形成县级土地利用变更调查成果并上交广东省自然资源厅</w:t>
                  </w:r>
                </w:p>
              </w:tc>
              <w:tc>
                <w:tcPr>
                  <w:tcW w:type="dxa" w:w="512"/>
                  <w:tcBorders>
                    <w:top w:val="none" w:color="000000" w:sz="4"/>
                    <w:left w:val="single" w:color="000000" w:sz="4"/>
                    <w:bottom w:val="single" w:color="000000" w:sz="4"/>
                    <w:right w:val="single" w:color="000000" w:sz="4"/>
                  </w:tcBorders>
                  <w:vAlign w:val="top"/>
                </w:tcPr>
                <w:p>
                  <w:pPr>
                    <w:jc w:val="center"/>
                  </w:pPr>
                  <w:r>
                    <w:rPr>
                      <w:sz w:val="21"/>
                    </w:rPr>
                    <w:t>项</w:t>
                  </w:r>
                </w:p>
              </w:tc>
              <w:tc>
                <w:tcPr>
                  <w:tcW w:type="dxa" w:w="646"/>
                  <w:tcBorders>
                    <w:top w:val="none" w:color="000000" w:sz="4"/>
                    <w:left w:val="single" w:color="000000" w:sz="4"/>
                    <w:bottom w:val="single" w:color="000000" w:sz="4"/>
                    <w:right w:val="single" w:color="000000" w:sz="4"/>
                  </w:tcBorders>
                  <w:vAlign w:val="top"/>
                </w:tcPr>
                <w:p>
                  <w:pPr>
                    <w:jc w:val="center"/>
                  </w:pPr>
                  <w:r>
                    <w:rPr>
                      <w:sz w:val="21"/>
                    </w:rPr>
                    <w:t>1</w:t>
                  </w:r>
                </w:p>
              </w:tc>
              <w:tc>
                <w:tcPr>
                  <w:tcW w:type="dxa" w:w="539"/>
                  <w:tcBorders>
                    <w:top w:val="none" w:color="000000" w:sz="4"/>
                    <w:left w:val="single" w:color="000000" w:sz="4"/>
                    <w:bottom w:val="single" w:color="000000" w:sz="4"/>
                    <w:right w:val="single" w:color="000000" w:sz="4"/>
                  </w:tcBorders>
                  <w:vAlign w:val="top"/>
                </w:tcPr>
                <w:p>
                  <w:pPr>
                    <w:jc w:val="center"/>
                  </w:pPr>
                  <w:r>
                    <w:rPr>
                      <w:sz w:val="21"/>
                    </w:rPr>
                    <w:t>/</w:t>
                  </w:r>
                </w:p>
              </w:tc>
            </w:tr>
            <w:tr>
              <w:tc>
                <w:tcPr>
                  <w:tcW w:type="dxa" w:w="303"/>
                  <w:vMerge/>
                  <w:tcBorders>
                    <w:top w:val="none" w:color="000000" w:sz="4"/>
                    <w:left w:val="single" w:color="000000" w:sz="4"/>
                    <w:bottom w:val="single" w:color="000000" w:sz="4"/>
                    <w:right w:val="single" w:color="000000" w:sz="4"/>
                  </w:tcBorders>
                </w:tcPr>
                <w:p/>
              </w:tc>
              <w:tc>
                <w:tcPr>
                  <w:tcW w:type="dxa" w:w="887"/>
                  <w:vMerge/>
                  <w:tcBorders>
                    <w:top w:val="none" w:color="000000" w:sz="4"/>
                    <w:left w:val="single" w:color="000000" w:sz="4"/>
                    <w:bottom w:val="single" w:color="000000" w:sz="4"/>
                    <w:right w:val="single" w:color="000000" w:sz="4"/>
                  </w:tcBorders>
                </w:tcPr>
                <w:p/>
              </w:tc>
              <w:tc>
                <w:tcPr>
                  <w:tcW w:type="dxa" w:w="1773"/>
                  <w:tcBorders>
                    <w:top w:val="none" w:color="000000" w:sz="4"/>
                    <w:left w:val="single" w:color="000000" w:sz="4"/>
                    <w:bottom w:val="single" w:color="000000" w:sz="4"/>
                    <w:right w:val="single" w:color="000000" w:sz="4"/>
                  </w:tcBorders>
                  <w:vAlign w:val="top"/>
                </w:tcPr>
                <w:p>
                  <w:r>
                    <w:rPr>
                      <w:sz w:val="21"/>
                    </w:rPr>
                    <w:t>经广东省自然资源厅检查如存在问题则及时修改，直至通过广东省自然资源厅检查</w:t>
                  </w:r>
                </w:p>
              </w:tc>
              <w:tc>
                <w:tcPr>
                  <w:tcW w:type="dxa" w:w="512"/>
                  <w:tcBorders>
                    <w:top w:val="none" w:color="000000" w:sz="4"/>
                    <w:left w:val="single" w:color="000000" w:sz="4"/>
                    <w:bottom w:val="single" w:color="000000" w:sz="4"/>
                    <w:right w:val="single" w:color="000000" w:sz="4"/>
                  </w:tcBorders>
                  <w:vAlign w:val="top"/>
                </w:tcPr>
                <w:p>
                  <w:pPr>
                    <w:jc w:val="center"/>
                  </w:pPr>
                  <w:r>
                    <w:rPr>
                      <w:sz w:val="21"/>
                    </w:rPr>
                    <w:t>项</w:t>
                  </w:r>
                </w:p>
              </w:tc>
              <w:tc>
                <w:tcPr>
                  <w:tcW w:type="dxa" w:w="646"/>
                  <w:tcBorders>
                    <w:top w:val="none" w:color="000000" w:sz="4"/>
                    <w:left w:val="single" w:color="000000" w:sz="4"/>
                    <w:bottom w:val="single" w:color="000000" w:sz="4"/>
                    <w:right w:val="single" w:color="000000" w:sz="4"/>
                  </w:tcBorders>
                  <w:vAlign w:val="top"/>
                </w:tcPr>
                <w:p>
                  <w:pPr>
                    <w:jc w:val="center"/>
                  </w:pPr>
                  <w:r>
                    <w:rPr>
                      <w:sz w:val="21"/>
                    </w:rPr>
                    <w:t>1</w:t>
                  </w:r>
                </w:p>
              </w:tc>
              <w:tc>
                <w:tcPr>
                  <w:tcW w:type="dxa" w:w="539"/>
                  <w:tcBorders>
                    <w:top w:val="none" w:color="000000" w:sz="4"/>
                    <w:left w:val="single" w:color="000000" w:sz="4"/>
                    <w:bottom w:val="single" w:color="000000" w:sz="4"/>
                    <w:right w:val="single" w:color="000000" w:sz="4"/>
                  </w:tcBorders>
                  <w:vAlign w:val="top"/>
                </w:tcPr>
                <w:p>
                  <w:pPr>
                    <w:jc w:val="center"/>
                  </w:pPr>
                  <w:r>
                    <w:rPr>
                      <w:sz w:val="21"/>
                    </w:rPr>
                    <w:t>/</w:t>
                  </w:r>
                </w:p>
              </w:tc>
            </w:tr>
            <w:tr>
              <w:tc>
                <w:tcPr>
                  <w:tcW w:type="dxa" w:w="303"/>
                  <w:tcBorders>
                    <w:top w:val="none" w:color="000000" w:sz="4"/>
                    <w:left w:val="single" w:color="000000" w:sz="4"/>
                    <w:bottom w:val="single" w:color="000000" w:sz="4"/>
                    <w:right w:val="single" w:color="000000" w:sz="4"/>
                  </w:tcBorders>
                  <w:vAlign w:val="top"/>
                </w:tcPr>
                <w:p>
                  <w:pPr>
                    <w:jc w:val="center"/>
                  </w:pPr>
                  <w:r>
                    <w:rPr>
                      <w:sz w:val="21"/>
                    </w:rPr>
                    <w:t>9</w:t>
                  </w:r>
                </w:p>
              </w:tc>
              <w:tc>
                <w:tcPr>
                  <w:tcW w:type="dxa" w:w="887"/>
                  <w:tcBorders>
                    <w:top w:val="none" w:color="000000" w:sz="4"/>
                    <w:left w:val="single" w:color="000000" w:sz="4"/>
                    <w:bottom w:val="single" w:color="000000" w:sz="4"/>
                    <w:right w:val="single" w:color="000000" w:sz="4"/>
                  </w:tcBorders>
                  <w:vAlign w:val="top"/>
                </w:tcPr>
                <w:p>
                  <w:pPr>
                    <w:jc w:val="center"/>
                  </w:pPr>
                  <w:r>
                    <w:rPr>
                      <w:sz w:val="21"/>
                    </w:rPr>
                    <w:t>成果核查与维护</w:t>
                  </w:r>
                </w:p>
              </w:tc>
              <w:tc>
                <w:tcPr>
                  <w:tcW w:type="dxa" w:w="1773"/>
                  <w:tcBorders>
                    <w:top w:val="none" w:color="000000" w:sz="4"/>
                    <w:left w:val="single" w:color="000000" w:sz="4"/>
                    <w:bottom w:val="single" w:color="000000" w:sz="4"/>
                    <w:right w:val="single" w:color="000000" w:sz="4"/>
                  </w:tcBorders>
                  <w:vAlign w:val="top"/>
                </w:tcPr>
                <w:p>
                  <w:r>
                    <w:rPr>
                      <w:sz w:val="21"/>
                    </w:rPr>
                    <w:t>配合开展成果核查工作，做好后期维护工作</w:t>
                  </w:r>
                </w:p>
              </w:tc>
              <w:tc>
                <w:tcPr>
                  <w:tcW w:type="dxa" w:w="512"/>
                  <w:tcBorders>
                    <w:top w:val="none" w:color="000000" w:sz="4"/>
                    <w:left w:val="single" w:color="000000" w:sz="4"/>
                    <w:bottom w:val="single" w:color="000000" w:sz="4"/>
                    <w:right w:val="single" w:color="000000" w:sz="4"/>
                  </w:tcBorders>
                  <w:vAlign w:val="top"/>
                </w:tcPr>
                <w:p>
                  <w:pPr>
                    <w:jc w:val="center"/>
                  </w:pPr>
                  <w:r>
                    <w:rPr>
                      <w:sz w:val="21"/>
                    </w:rPr>
                    <w:t>项</w:t>
                  </w:r>
                </w:p>
              </w:tc>
              <w:tc>
                <w:tcPr>
                  <w:tcW w:type="dxa" w:w="646"/>
                  <w:tcBorders>
                    <w:top w:val="none" w:color="000000" w:sz="4"/>
                    <w:left w:val="single" w:color="000000" w:sz="4"/>
                    <w:bottom w:val="single" w:color="000000" w:sz="4"/>
                    <w:right w:val="single" w:color="000000" w:sz="4"/>
                  </w:tcBorders>
                  <w:vAlign w:val="top"/>
                </w:tcPr>
                <w:p>
                  <w:pPr>
                    <w:jc w:val="center"/>
                  </w:pPr>
                  <w:r>
                    <w:rPr>
                      <w:sz w:val="21"/>
                    </w:rPr>
                    <w:t>1</w:t>
                  </w:r>
                </w:p>
              </w:tc>
              <w:tc>
                <w:tcPr>
                  <w:tcW w:type="dxa" w:w="539"/>
                  <w:tcBorders>
                    <w:top w:val="none" w:color="000000" w:sz="4"/>
                    <w:left w:val="single" w:color="000000" w:sz="4"/>
                    <w:bottom w:val="single" w:color="000000" w:sz="4"/>
                    <w:right w:val="single" w:color="000000" w:sz="4"/>
                  </w:tcBorders>
                  <w:vAlign w:val="top"/>
                </w:tcPr>
                <w:p>
                  <w:pPr>
                    <w:jc w:val="center"/>
                  </w:pPr>
                  <w:r>
                    <w:rPr>
                      <w:sz w:val="21"/>
                    </w:rPr>
                    <w:t>/</w:t>
                  </w:r>
                </w:p>
              </w:tc>
            </w:tr>
            <w:tr>
              <w:tc>
                <w:tcPr>
                  <w:tcW w:type="dxa" w:w="4660"/>
                  <w:gridSpan w:val="6"/>
                  <w:tcBorders>
                    <w:top w:val="none" w:color="000000" w:sz="4"/>
                    <w:left w:val="single" w:color="000000" w:sz="4"/>
                    <w:bottom w:val="single" w:color="000000" w:sz="4"/>
                    <w:right w:val="single" w:color="000000" w:sz="4"/>
                  </w:tcBorders>
                  <w:vAlign w:val="top"/>
                </w:tcPr>
                <w:p>
                  <w:pPr>
                    <w:jc w:val="center"/>
                  </w:pPr>
                  <w:r>
                    <w:rPr>
                      <w:b/>
                      <w:sz w:val="21"/>
                    </w:rPr>
                    <w:t>合计</w:t>
                  </w:r>
                </w:p>
              </w:tc>
              <w:tc>
                <w:tcPr>
                  <w:tcW w:type="dxa" w:w="938"/>
                  <w:tcBorders>
                    <w:top w:val="none" w:color="000000" w:sz="4"/>
                    <w:left w:val="single" w:color="000000" w:sz="4"/>
                    <w:bottom w:val="single" w:color="000000" w:sz="4"/>
                    <w:right w:val="single" w:color="000000" w:sz="4"/>
                  </w:tcBorders>
                  <w:vAlign w:val="top"/>
                </w:tcPr>
                <w:p>
                  <w:pPr>
                    <w:jc w:val="center"/>
                  </w:pPr>
                  <w:r>
                    <w:rPr>
                      <w:b/>
                      <w:sz w:val="21"/>
                    </w:rPr>
                    <w:t>382000.00元</w:t>
                  </w:r>
                </w:p>
              </w:tc>
            </w:tr>
          </w:tbl>
          <w:p>
            <w:r>
              <w:rPr>
                <w:sz w:val="21"/>
              </w:rPr>
              <w:t>注：</w:t>
            </w:r>
          </w:p>
          <w:p>
            <w:r>
              <w:rPr>
                <w:sz w:val="21"/>
              </w:rPr>
              <w:t>①上表中“外业调查、实地举证”的工作量为预估数，如成交供应商实际完成的工作量小于预估数的，则根据“外业调查、实地举证”工作项的成交单价及实际完成的工作量进行按实结算；如成交供应商实际完成的工作量大于预估数的，成交供应商须按“外业调查、实地举证”工作项的成交总金额以包干形式完成所有“外业调查、实地举证”工作，供应商对此必须充分考虑，采购人将不再为此另行支付任何费用。</w:t>
            </w:r>
          </w:p>
          <w:p>
            <w:r>
              <w:rPr>
                <w:sz w:val="21"/>
              </w:rPr>
              <w:t>②除“外业调查、实地举证”工作项外，其它工作项均按其成交金额包干。</w:t>
            </w:r>
          </w:p>
          <w:p>
            <w:r>
              <w:rPr>
                <w:sz w:val="21"/>
              </w:rPr>
              <w:t>③项目实施过程中如省厅下达新的文件要求，成交供应商都必须以其成交金额按要求完成所有工作，采购人将不再为此另行支付任何费用。</w:t>
            </w:r>
          </w:p>
          <w:p>
            <w:pPr>
              <w:jc w:val="center"/>
            </w:pPr>
            <w:r>
              <w:rPr/>
              <w:t xml:space="preserve"> </w:t>
            </w:r>
          </w:p>
          <w:p>
            <w:pPr>
              <w:jc w:val="center"/>
            </w:pPr>
            <w:r>
              <w:rPr>
                <w:b/>
                <w:sz w:val="21"/>
              </w:rPr>
              <w:t>1.3新兴县2023年度卫片执法技术服务</w:t>
            </w:r>
          </w:p>
          <w:tbl>
            <w:tblPr>
              <w:tblBorders>
                <w:top w:val="none" w:color="000000" w:sz="4"/>
                <w:left w:val="none" w:color="000000" w:sz="4"/>
                <w:bottom w:val="none" w:color="000000" w:sz="4"/>
                <w:right w:val="none" w:color="000000" w:sz="4"/>
                <w:insideH w:val="none"/>
                <w:insideV w:val="none"/>
              </w:tblBorders>
            </w:tblPr>
            <w:tblGrid>
              <w:gridCol w:w="299"/>
              <w:gridCol w:w="883"/>
              <w:gridCol w:w="1771"/>
              <w:gridCol w:w="491"/>
              <w:gridCol w:w="642"/>
              <w:gridCol w:w="574"/>
              <w:gridCol w:w="938"/>
            </w:tblGrid>
            <w:tr>
              <w:tc>
                <w:tcPr>
                  <w:tcW w:type="dxa" w:w="299"/>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883"/>
                  <w:tcBorders>
                    <w:top w:val="single" w:color="000000" w:sz="4"/>
                    <w:left w:val="single" w:color="000000" w:sz="4"/>
                    <w:bottom w:val="single" w:color="000000" w:sz="4"/>
                    <w:right w:val="single" w:color="000000" w:sz="4"/>
                  </w:tcBorders>
                  <w:vAlign w:val="top"/>
                </w:tcPr>
                <w:p>
                  <w:pPr>
                    <w:jc w:val="center"/>
                  </w:pPr>
                  <w:r>
                    <w:rPr>
                      <w:b/>
                      <w:sz w:val="21"/>
                    </w:rPr>
                    <w:t>工作项</w:t>
                  </w:r>
                </w:p>
              </w:tc>
              <w:tc>
                <w:tcPr>
                  <w:tcW w:type="dxa" w:w="1771"/>
                  <w:tcBorders>
                    <w:top w:val="single" w:color="000000" w:sz="4"/>
                    <w:left w:val="single" w:color="000000" w:sz="4"/>
                    <w:bottom w:val="single" w:color="000000" w:sz="4"/>
                    <w:right w:val="single" w:color="000000" w:sz="4"/>
                  </w:tcBorders>
                  <w:vAlign w:val="top"/>
                </w:tcPr>
                <w:p>
                  <w:pPr>
                    <w:jc w:val="center"/>
                  </w:pPr>
                  <w:r>
                    <w:rPr>
                      <w:b/>
                      <w:sz w:val="21"/>
                    </w:rPr>
                    <w:t>工作内容</w:t>
                  </w:r>
                </w:p>
              </w:tc>
              <w:tc>
                <w:tcPr>
                  <w:tcW w:type="dxa" w:w="491"/>
                  <w:tcBorders>
                    <w:top w:val="single" w:color="000000" w:sz="4"/>
                    <w:left w:val="single" w:color="000000" w:sz="4"/>
                    <w:bottom w:val="single" w:color="000000" w:sz="4"/>
                    <w:right w:val="single" w:color="000000" w:sz="4"/>
                  </w:tcBorders>
                  <w:vAlign w:val="top"/>
                </w:tcPr>
                <w:p>
                  <w:pPr>
                    <w:jc w:val="center"/>
                  </w:pPr>
                  <w:r>
                    <w:rPr>
                      <w:b/>
                      <w:sz w:val="21"/>
                    </w:rPr>
                    <w:t>单位</w:t>
                  </w:r>
                </w:p>
              </w:tc>
              <w:tc>
                <w:tcPr>
                  <w:tcW w:type="dxa" w:w="642"/>
                  <w:tcBorders>
                    <w:top w:val="single" w:color="000000" w:sz="4"/>
                    <w:left w:val="single" w:color="000000" w:sz="4"/>
                    <w:bottom w:val="single" w:color="000000" w:sz="4"/>
                    <w:right w:val="single" w:color="000000" w:sz="4"/>
                  </w:tcBorders>
                  <w:vAlign w:val="top"/>
                </w:tcPr>
                <w:p>
                  <w:pPr>
                    <w:jc w:val="center"/>
                  </w:pPr>
                  <w:r>
                    <w:rPr>
                      <w:b/>
                      <w:sz w:val="21"/>
                    </w:rPr>
                    <w:t>工作量</w:t>
                  </w:r>
                </w:p>
              </w:tc>
              <w:tc>
                <w:tcPr>
                  <w:tcW w:type="dxa" w:w="574"/>
                  <w:tcBorders>
                    <w:top w:val="single" w:color="000000" w:sz="4"/>
                    <w:left w:val="single" w:color="000000" w:sz="4"/>
                    <w:bottom w:val="single" w:color="000000" w:sz="4"/>
                    <w:right w:val="single" w:color="000000" w:sz="4"/>
                  </w:tcBorders>
                  <w:vAlign w:val="top"/>
                </w:tcPr>
                <w:p>
                  <w:pPr>
                    <w:jc w:val="center"/>
                  </w:pPr>
                  <w:r>
                    <w:rPr>
                      <w:b/>
                      <w:sz w:val="21"/>
                    </w:rPr>
                    <w:t>单价最高限价</w:t>
                  </w:r>
                </w:p>
              </w:tc>
              <w:tc>
                <w:tcPr>
                  <w:tcW w:type="dxa" w:w="938"/>
                  <w:tcBorders>
                    <w:top w:val="single" w:color="000000" w:sz="4"/>
                    <w:left w:val="single" w:color="000000" w:sz="4"/>
                    <w:bottom w:val="single" w:color="000000" w:sz="4"/>
                    <w:right w:val="single" w:color="000000" w:sz="4"/>
                  </w:tcBorders>
                  <w:vAlign w:val="top"/>
                </w:tcPr>
                <w:p>
                  <w:pPr>
                    <w:jc w:val="center"/>
                  </w:pPr>
                  <w:r>
                    <w:rPr>
                      <w:b/>
                      <w:sz w:val="21"/>
                    </w:rPr>
                    <w:t>预算金额</w:t>
                  </w:r>
                </w:p>
              </w:tc>
            </w:tr>
            <w:tr>
              <w:tc>
                <w:tcPr>
                  <w:tcW w:type="dxa" w:w="299"/>
                  <w:tcBorders>
                    <w:top w:val="none" w:color="000000" w:sz="4"/>
                    <w:left w:val="single" w:color="000000" w:sz="4"/>
                    <w:bottom w:val="single" w:color="000000" w:sz="4"/>
                    <w:right w:val="single" w:color="000000" w:sz="4"/>
                  </w:tcBorders>
                  <w:vAlign w:val="top"/>
                </w:tcPr>
                <w:p>
                  <w:pPr>
                    <w:jc w:val="center"/>
                  </w:pPr>
                  <w:r>
                    <w:rPr>
                      <w:sz w:val="21"/>
                    </w:rPr>
                    <w:t>1</w:t>
                  </w:r>
                </w:p>
              </w:tc>
              <w:tc>
                <w:tcPr>
                  <w:tcW w:type="dxa" w:w="883"/>
                  <w:tcBorders>
                    <w:top w:val="none" w:color="000000" w:sz="4"/>
                    <w:left w:val="single" w:color="000000" w:sz="4"/>
                    <w:bottom w:val="single" w:color="000000" w:sz="4"/>
                    <w:right w:val="single" w:color="000000" w:sz="4"/>
                  </w:tcBorders>
                  <w:vAlign w:val="top"/>
                </w:tcPr>
                <w:p>
                  <w:pPr>
                    <w:jc w:val="center"/>
                  </w:pPr>
                  <w:r>
                    <w:rPr>
                      <w:sz w:val="21"/>
                    </w:rPr>
                    <w:t>资料收集及设备准备</w:t>
                  </w:r>
                </w:p>
              </w:tc>
              <w:tc>
                <w:tcPr>
                  <w:tcW w:type="dxa" w:w="1771"/>
                  <w:tcBorders>
                    <w:top w:val="none" w:color="000000" w:sz="4"/>
                    <w:left w:val="single" w:color="000000" w:sz="4"/>
                    <w:bottom w:val="single" w:color="000000" w:sz="4"/>
                    <w:right w:val="single" w:color="000000" w:sz="4"/>
                  </w:tcBorders>
                  <w:vAlign w:val="top"/>
                </w:tcPr>
                <w:p>
                  <w:pPr>
                    <w:jc w:val="left"/>
                  </w:pPr>
                  <w:r>
                    <w:rPr>
                      <w:sz w:val="21"/>
                    </w:rPr>
                    <w:t>已有资料收集、分析、整理，准备电脑、平板等设备</w:t>
                  </w:r>
                </w:p>
              </w:tc>
              <w:tc>
                <w:tcPr>
                  <w:tcW w:type="dxa" w:w="491"/>
                  <w:tcBorders>
                    <w:top w:val="none" w:color="000000" w:sz="4"/>
                    <w:left w:val="single" w:color="000000" w:sz="4"/>
                    <w:bottom w:val="single" w:color="000000" w:sz="4"/>
                    <w:right w:val="single" w:color="000000" w:sz="4"/>
                  </w:tcBorders>
                  <w:vAlign w:val="top"/>
                </w:tcPr>
                <w:p>
                  <w:pPr>
                    <w:jc w:val="center"/>
                  </w:pPr>
                  <w:r>
                    <w:rPr>
                      <w:sz w:val="21"/>
                    </w:rPr>
                    <w:t>月度</w:t>
                  </w:r>
                </w:p>
              </w:tc>
              <w:tc>
                <w:tcPr>
                  <w:tcW w:type="dxa" w:w="642"/>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574"/>
                  <w:tcBorders>
                    <w:top w:val="none" w:color="000000" w:sz="4"/>
                    <w:left w:val="single" w:color="000000" w:sz="4"/>
                    <w:bottom w:val="single" w:color="000000" w:sz="4"/>
                    <w:right w:val="single" w:color="000000" w:sz="4"/>
                  </w:tcBorders>
                  <w:vAlign w:val="top"/>
                </w:tcPr>
                <w:p>
                  <w:pPr>
                    <w:jc w:val="center"/>
                  </w:pPr>
                  <w:r>
                    <w:rPr>
                      <w:sz w:val="21"/>
                    </w:rPr>
                    <w:t>3333.33元/月</w:t>
                  </w:r>
                </w:p>
              </w:tc>
              <w:tc>
                <w:tcPr>
                  <w:tcW w:type="dxa" w:w="938"/>
                  <w:tcBorders>
                    <w:top w:val="none" w:color="000000" w:sz="4"/>
                    <w:left w:val="single" w:color="000000" w:sz="4"/>
                    <w:bottom w:val="single" w:color="000000" w:sz="4"/>
                    <w:right w:val="single" w:color="000000" w:sz="4"/>
                  </w:tcBorders>
                  <w:vAlign w:val="top"/>
                </w:tcPr>
                <w:p>
                  <w:pPr>
                    <w:jc w:val="center"/>
                  </w:pPr>
                  <w:r>
                    <w:rPr>
                      <w:sz w:val="21"/>
                    </w:rPr>
                    <w:t>40000.00元</w:t>
                  </w:r>
                </w:p>
              </w:tc>
            </w:tr>
            <w:tr>
              <w:tc>
                <w:tcPr>
                  <w:tcW w:type="dxa" w:w="299"/>
                  <w:tcBorders>
                    <w:top w:val="none" w:color="000000" w:sz="4"/>
                    <w:left w:val="single" w:color="000000" w:sz="4"/>
                    <w:bottom w:val="single" w:color="000000" w:sz="4"/>
                    <w:right w:val="single" w:color="000000" w:sz="4"/>
                  </w:tcBorders>
                  <w:vAlign w:val="top"/>
                </w:tcPr>
                <w:p>
                  <w:pPr>
                    <w:jc w:val="center"/>
                  </w:pPr>
                  <w:r>
                    <w:rPr>
                      <w:sz w:val="21"/>
                    </w:rPr>
                    <w:t>2</w:t>
                  </w:r>
                </w:p>
              </w:tc>
              <w:tc>
                <w:tcPr>
                  <w:tcW w:type="dxa" w:w="883"/>
                  <w:tcBorders>
                    <w:top w:val="none" w:color="000000" w:sz="4"/>
                    <w:left w:val="single" w:color="000000" w:sz="4"/>
                    <w:bottom w:val="single" w:color="000000" w:sz="4"/>
                    <w:right w:val="single" w:color="000000" w:sz="4"/>
                  </w:tcBorders>
                  <w:vAlign w:val="top"/>
                </w:tcPr>
                <w:p>
                  <w:pPr>
                    <w:jc w:val="center"/>
                  </w:pPr>
                  <w:r>
                    <w:rPr>
                      <w:sz w:val="21"/>
                    </w:rPr>
                    <w:t>图斑判定</w:t>
                  </w:r>
                </w:p>
              </w:tc>
              <w:tc>
                <w:tcPr>
                  <w:tcW w:type="dxa" w:w="1771"/>
                  <w:tcBorders>
                    <w:top w:val="none" w:color="000000" w:sz="4"/>
                    <w:left w:val="single" w:color="000000" w:sz="4"/>
                    <w:bottom w:val="single" w:color="000000" w:sz="4"/>
                    <w:right w:val="single" w:color="000000" w:sz="4"/>
                  </w:tcBorders>
                  <w:vAlign w:val="top"/>
                </w:tcPr>
                <w:p>
                  <w:pPr>
                    <w:jc w:val="left"/>
                  </w:pPr>
                  <w:r>
                    <w:rPr>
                      <w:sz w:val="21"/>
                    </w:rPr>
                    <w:t>根据收集的材料和实地举证结果，通过在线巡查平台进行数据填写并上报</w:t>
                  </w:r>
                </w:p>
              </w:tc>
              <w:tc>
                <w:tcPr>
                  <w:tcW w:type="dxa" w:w="491"/>
                  <w:tcBorders>
                    <w:top w:val="none" w:color="000000" w:sz="4"/>
                    <w:left w:val="single" w:color="000000" w:sz="4"/>
                    <w:bottom w:val="single" w:color="000000" w:sz="4"/>
                    <w:right w:val="single" w:color="000000" w:sz="4"/>
                  </w:tcBorders>
                  <w:vAlign w:val="top"/>
                </w:tcPr>
                <w:p>
                  <w:pPr>
                    <w:jc w:val="center"/>
                  </w:pPr>
                  <w:r>
                    <w:rPr>
                      <w:sz w:val="21"/>
                    </w:rPr>
                    <w:t>个</w:t>
                  </w:r>
                </w:p>
              </w:tc>
              <w:tc>
                <w:tcPr>
                  <w:tcW w:type="dxa" w:w="642"/>
                  <w:tcBorders>
                    <w:top w:val="none" w:color="000000" w:sz="4"/>
                    <w:left w:val="single" w:color="000000" w:sz="4"/>
                    <w:bottom w:val="single" w:color="000000" w:sz="4"/>
                    <w:right w:val="single" w:color="000000" w:sz="4"/>
                  </w:tcBorders>
                  <w:vAlign w:val="top"/>
                </w:tcPr>
                <w:p>
                  <w:pPr>
                    <w:jc w:val="center"/>
                  </w:pPr>
                  <w:r>
                    <w:rPr>
                      <w:sz w:val="21"/>
                    </w:rPr>
                    <w:t>预估数：</w:t>
                  </w:r>
                  <w:r>
                    <w:rPr>
                      <w:sz w:val="21"/>
                    </w:rPr>
                    <w:t>1200</w:t>
                  </w:r>
                </w:p>
              </w:tc>
              <w:tc>
                <w:tcPr>
                  <w:tcW w:type="dxa" w:w="574"/>
                  <w:tcBorders>
                    <w:top w:val="none" w:color="000000" w:sz="4"/>
                    <w:left w:val="single" w:color="000000" w:sz="4"/>
                    <w:bottom w:val="single" w:color="000000" w:sz="4"/>
                    <w:right w:val="single" w:color="000000" w:sz="4"/>
                  </w:tcBorders>
                  <w:vAlign w:val="top"/>
                </w:tcPr>
                <w:p>
                  <w:pPr>
                    <w:jc w:val="center"/>
                  </w:pPr>
                  <w:r>
                    <w:rPr>
                      <w:sz w:val="21"/>
                    </w:rPr>
                    <w:t>30元/个</w:t>
                  </w:r>
                </w:p>
              </w:tc>
              <w:tc>
                <w:tcPr>
                  <w:tcW w:type="dxa" w:w="938"/>
                  <w:tcBorders>
                    <w:top w:val="none" w:color="000000" w:sz="4"/>
                    <w:left w:val="single" w:color="000000" w:sz="4"/>
                    <w:bottom w:val="single" w:color="000000" w:sz="4"/>
                    <w:right w:val="single" w:color="000000" w:sz="4"/>
                  </w:tcBorders>
                  <w:vAlign w:val="top"/>
                </w:tcPr>
                <w:p>
                  <w:pPr>
                    <w:jc w:val="center"/>
                  </w:pPr>
                  <w:r>
                    <w:rPr>
                      <w:sz w:val="21"/>
                    </w:rPr>
                    <w:t>36000.00元</w:t>
                  </w:r>
                </w:p>
              </w:tc>
            </w:tr>
            <w:tr>
              <w:tc>
                <w:tcPr>
                  <w:tcW w:type="dxa" w:w="299"/>
                  <w:tcBorders>
                    <w:top w:val="none" w:color="000000" w:sz="4"/>
                    <w:left w:val="single" w:color="000000" w:sz="4"/>
                    <w:bottom w:val="single" w:color="000000" w:sz="4"/>
                    <w:right w:val="single" w:color="000000" w:sz="4"/>
                  </w:tcBorders>
                  <w:vAlign w:val="top"/>
                </w:tcPr>
                <w:p>
                  <w:pPr>
                    <w:jc w:val="center"/>
                  </w:pPr>
                  <w:r>
                    <w:rPr>
                      <w:sz w:val="21"/>
                    </w:rPr>
                    <w:t>3</w:t>
                  </w:r>
                </w:p>
              </w:tc>
              <w:tc>
                <w:tcPr>
                  <w:tcW w:type="dxa" w:w="883"/>
                  <w:tcBorders>
                    <w:top w:val="none" w:color="000000" w:sz="4"/>
                    <w:left w:val="single" w:color="000000" w:sz="4"/>
                    <w:bottom w:val="single" w:color="000000" w:sz="4"/>
                    <w:right w:val="single" w:color="000000" w:sz="4"/>
                  </w:tcBorders>
                  <w:vAlign w:val="top"/>
                </w:tcPr>
                <w:p>
                  <w:pPr>
                    <w:jc w:val="center"/>
                  </w:pPr>
                  <w:r>
                    <w:rPr>
                      <w:sz w:val="21"/>
                    </w:rPr>
                    <w:t>底图制作</w:t>
                  </w:r>
                </w:p>
              </w:tc>
              <w:tc>
                <w:tcPr>
                  <w:tcW w:type="dxa" w:w="1771"/>
                  <w:tcBorders>
                    <w:top w:val="none" w:color="000000" w:sz="4"/>
                    <w:left w:val="single" w:color="000000" w:sz="4"/>
                    <w:bottom w:val="single" w:color="000000" w:sz="4"/>
                    <w:right w:val="single" w:color="000000" w:sz="4"/>
                  </w:tcBorders>
                  <w:vAlign w:val="top"/>
                </w:tcPr>
                <w:p>
                  <w:pPr>
                    <w:jc w:val="left"/>
                  </w:pPr>
                  <w:r>
                    <w:rPr>
                      <w:sz w:val="21"/>
                    </w:rPr>
                    <w:t>违法图斑图纸制作、套合图制作并打印等</w:t>
                  </w:r>
                </w:p>
              </w:tc>
              <w:tc>
                <w:tcPr>
                  <w:tcW w:type="dxa" w:w="491"/>
                  <w:tcBorders>
                    <w:top w:val="none" w:color="000000" w:sz="4"/>
                    <w:left w:val="single" w:color="000000" w:sz="4"/>
                    <w:bottom w:val="single" w:color="000000" w:sz="4"/>
                    <w:right w:val="single" w:color="000000" w:sz="4"/>
                  </w:tcBorders>
                  <w:vAlign w:val="top"/>
                </w:tcPr>
                <w:p>
                  <w:pPr>
                    <w:jc w:val="center"/>
                  </w:pPr>
                  <w:r>
                    <w:rPr>
                      <w:sz w:val="21"/>
                    </w:rPr>
                    <w:t>个</w:t>
                  </w:r>
                </w:p>
              </w:tc>
              <w:tc>
                <w:tcPr>
                  <w:tcW w:type="dxa" w:w="642"/>
                  <w:tcBorders>
                    <w:top w:val="none" w:color="000000" w:sz="4"/>
                    <w:left w:val="single" w:color="000000" w:sz="4"/>
                    <w:bottom w:val="single" w:color="000000" w:sz="4"/>
                    <w:right w:val="single" w:color="000000" w:sz="4"/>
                  </w:tcBorders>
                  <w:vAlign w:val="top"/>
                </w:tcPr>
                <w:p>
                  <w:pPr>
                    <w:jc w:val="center"/>
                  </w:pPr>
                  <w:r>
                    <w:rPr>
                      <w:sz w:val="21"/>
                    </w:rPr>
                    <w:t>预估数：</w:t>
                  </w:r>
                  <w:r>
                    <w:rPr>
                      <w:sz w:val="21"/>
                    </w:rPr>
                    <w:t>1200</w:t>
                  </w:r>
                </w:p>
              </w:tc>
              <w:tc>
                <w:tcPr>
                  <w:tcW w:type="dxa" w:w="574"/>
                  <w:tcBorders>
                    <w:top w:val="none" w:color="000000" w:sz="4"/>
                    <w:left w:val="single" w:color="000000" w:sz="4"/>
                    <w:bottom w:val="single" w:color="000000" w:sz="4"/>
                    <w:right w:val="single" w:color="000000" w:sz="4"/>
                  </w:tcBorders>
                  <w:vAlign w:val="top"/>
                </w:tcPr>
                <w:p>
                  <w:pPr>
                    <w:jc w:val="center"/>
                  </w:pPr>
                  <w:r>
                    <w:rPr>
                      <w:sz w:val="21"/>
                    </w:rPr>
                    <w:t>20元/个</w:t>
                  </w:r>
                </w:p>
              </w:tc>
              <w:tc>
                <w:tcPr>
                  <w:tcW w:type="dxa" w:w="938"/>
                  <w:tcBorders>
                    <w:top w:val="none" w:color="000000" w:sz="4"/>
                    <w:left w:val="single" w:color="000000" w:sz="4"/>
                    <w:bottom w:val="single" w:color="000000" w:sz="4"/>
                    <w:right w:val="single" w:color="000000" w:sz="4"/>
                  </w:tcBorders>
                  <w:vAlign w:val="top"/>
                </w:tcPr>
                <w:p>
                  <w:pPr>
                    <w:jc w:val="center"/>
                  </w:pPr>
                  <w:r>
                    <w:rPr>
                      <w:sz w:val="21"/>
                    </w:rPr>
                    <w:t>24000.00元</w:t>
                  </w:r>
                </w:p>
              </w:tc>
            </w:tr>
            <w:tr>
              <w:tc>
                <w:tcPr>
                  <w:tcW w:type="dxa" w:w="299"/>
                  <w:tcBorders>
                    <w:top w:val="none" w:color="000000" w:sz="4"/>
                    <w:left w:val="single" w:color="000000" w:sz="4"/>
                    <w:bottom w:val="single" w:color="000000" w:sz="4"/>
                    <w:right w:val="single" w:color="000000" w:sz="4"/>
                  </w:tcBorders>
                  <w:vAlign w:val="top"/>
                </w:tcPr>
                <w:p>
                  <w:pPr>
                    <w:jc w:val="center"/>
                  </w:pPr>
                  <w:r>
                    <w:rPr>
                      <w:sz w:val="21"/>
                    </w:rPr>
                    <w:t>4</w:t>
                  </w:r>
                </w:p>
              </w:tc>
              <w:tc>
                <w:tcPr>
                  <w:tcW w:type="dxa" w:w="883"/>
                  <w:tcBorders>
                    <w:top w:val="none" w:color="000000" w:sz="4"/>
                    <w:left w:val="single" w:color="000000" w:sz="4"/>
                    <w:bottom w:val="single" w:color="000000" w:sz="4"/>
                    <w:right w:val="single" w:color="000000" w:sz="4"/>
                  </w:tcBorders>
                  <w:vAlign w:val="top"/>
                </w:tcPr>
                <w:p>
                  <w:pPr>
                    <w:jc w:val="center"/>
                  </w:pPr>
                  <w:r>
                    <w:rPr>
                      <w:sz w:val="21"/>
                    </w:rPr>
                    <w:t>实地举证</w:t>
                  </w:r>
                </w:p>
              </w:tc>
              <w:tc>
                <w:tcPr>
                  <w:tcW w:type="dxa" w:w="1771"/>
                  <w:tcBorders>
                    <w:top w:val="none" w:color="000000" w:sz="4"/>
                    <w:left w:val="single" w:color="000000" w:sz="4"/>
                    <w:bottom w:val="single" w:color="000000" w:sz="4"/>
                    <w:right w:val="single" w:color="000000" w:sz="4"/>
                  </w:tcBorders>
                  <w:vAlign w:val="top"/>
                </w:tcPr>
                <w:p>
                  <w:pPr>
                    <w:jc w:val="left"/>
                  </w:pPr>
                  <w:r>
                    <w:rPr>
                      <w:sz w:val="21"/>
                    </w:rPr>
                    <w:t>实地逐图斑核查土地利用情况及核实拍照</w:t>
                  </w:r>
                </w:p>
              </w:tc>
              <w:tc>
                <w:tcPr>
                  <w:tcW w:type="dxa" w:w="491"/>
                  <w:tcBorders>
                    <w:top w:val="none" w:color="000000" w:sz="4"/>
                    <w:left w:val="single" w:color="000000" w:sz="4"/>
                    <w:bottom w:val="single" w:color="000000" w:sz="4"/>
                    <w:right w:val="single" w:color="000000" w:sz="4"/>
                  </w:tcBorders>
                  <w:vAlign w:val="top"/>
                </w:tcPr>
                <w:p>
                  <w:pPr>
                    <w:jc w:val="center"/>
                  </w:pPr>
                  <w:r>
                    <w:rPr>
                      <w:sz w:val="21"/>
                    </w:rPr>
                    <w:t>个</w:t>
                  </w:r>
                </w:p>
              </w:tc>
              <w:tc>
                <w:tcPr>
                  <w:tcW w:type="dxa" w:w="642"/>
                  <w:tcBorders>
                    <w:top w:val="none" w:color="000000" w:sz="4"/>
                    <w:left w:val="single" w:color="000000" w:sz="4"/>
                    <w:bottom w:val="single" w:color="000000" w:sz="4"/>
                    <w:right w:val="single" w:color="000000" w:sz="4"/>
                  </w:tcBorders>
                  <w:vAlign w:val="top"/>
                </w:tcPr>
                <w:p>
                  <w:pPr>
                    <w:jc w:val="center"/>
                  </w:pPr>
                  <w:r>
                    <w:rPr>
                      <w:sz w:val="21"/>
                    </w:rPr>
                    <w:t>预估数：</w:t>
                  </w:r>
                  <w:r>
                    <w:rPr>
                      <w:sz w:val="21"/>
                    </w:rPr>
                    <w:t>1200</w:t>
                  </w:r>
                </w:p>
              </w:tc>
              <w:tc>
                <w:tcPr>
                  <w:tcW w:type="dxa" w:w="574"/>
                  <w:tcBorders>
                    <w:top w:val="none" w:color="000000" w:sz="4"/>
                    <w:left w:val="single" w:color="000000" w:sz="4"/>
                    <w:bottom w:val="single" w:color="000000" w:sz="4"/>
                    <w:right w:val="single" w:color="000000" w:sz="4"/>
                  </w:tcBorders>
                  <w:vAlign w:val="top"/>
                </w:tcPr>
                <w:p>
                  <w:pPr>
                    <w:jc w:val="center"/>
                  </w:pPr>
                  <w:r>
                    <w:rPr>
                      <w:sz w:val="21"/>
                    </w:rPr>
                    <w:t>100元/个</w:t>
                  </w:r>
                </w:p>
              </w:tc>
              <w:tc>
                <w:tcPr>
                  <w:tcW w:type="dxa" w:w="938"/>
                  <w:tcBorders>
                    <w:top w:val="none" w:color="000000" w:sz="4"/>
                    <w:left w:val="single" w:color="000000" w:sz="4"/>
                    <w:bottom w:val="single" w:color="000000" w:sz="4"/>
                    <w:right w:val="single" w:color="000000" w:sz="4"/>
                  </w:tcBorders>
                  <w:vAlign w:val="top"/>
                </w:tcPr>
                <w:p>
                  <w:pPr>
                    <w:jc w:val="center"/>
                  </w:pPr>
                  <w:r>
                    <w:rPr>
                      <w:sz w:val="21"/>
                    </w:rPr>
                    <w:t>120000.00元</w:t>
                  </w:r>
                </w:p>
              </w:tc>
            </w:tr>
            <w:tr>
              <w:tc>
                <w:tcPr>
                  <w:tcW w:type="dxa" w:w="299"/>
                  <w:tcBorders>
                    <w:top w:val="none" w:color="000000" w:sz="4"/>
                    <w:left w:val="single" w:color="000000" w:sz="4"/>
                    <w:bottom w:val="single" w:color="000000" w:sz="4"/>
                    <w:right w:val="single" w:color="000000" w:sz="4"/>
                  </w:tcBorders>
                  <w:vAlign w:val="top"/>
                </w:tcPr>
                <w:p>
                  <w:pPr>
                    <w:jc w:val="center"/>
                  </w:pPr>
                  <w:r>
                    <w:rPr>
                      <w:sz w:val="21"/>
                    </w:rPr>
                    <w:t>5</w:t>
                  </w:r>
                </w:p>
              </w:tc>
              <w:tc>
                <w:tcPr>
                  <w:tcW w:type="dxa" w:w="883"/>
                  <w:tcBorders>
                    <w:top w:val="none" w:color="000000" w:sz="4"/>
                    <w:left w:val="single" w:color="000000" w:sz="4"/>
                    <w:bottom w:val="single" w:color="000000" w:sz="4"/>
                    <w:right w:val="single" w:color="000000" w:sz="4"/>
                  </w:tcBorders>
                  <w:vAlign w:val="top"/>
                </w:tcPr>
                <w:p>
                  <w:pPr>
                    <w:jc w:val="center"/>
                  </w:pPr>
                  <w:r>
                    <w:rPr>
                      <w:sz w:val="21"/>
                    </w:rPr>
                    <w:t>数据整理上报</w:t>
                  </w:r>
                </w:p>
              </w:tc>
              <w:tc>
                <w:tcPr>
                  <w:tcW w:type="dxa" w:w="1771"/>
                  <w:tcBorders>
                    <w:top w:val="none" w:color="000000" w:sz="4"/>
                    <w:left w:val="single" w:color="000000" w:sz="4"/>
                    <w:bottom w:val="single" w:color="000000" w:sz="4"/>
                    <w:right w:val="single" w:color="000000" w:sz="4"/>
                  </w:tcBorders>
                  <w:vAlign w:val="top"/>
                </w:tcPr>
                <w:p>
                  <w:pPr>
                    <w:jc w:val="left"/>
                  </w:pPr>
                  <w:r>
                    <w:rPr>
                      <w:sz w:val="21"/>
                    </w:rPr>
                    <w:t>根据收集的材料和实地举证结果，通过在线巡查平台进行数据填写并上报</w:t>
                  </w:r>
                </w:p>
              </w:tc>
              <w:tc>
                <w:tcPr>
                  <w:tcW w:type="dxa" w:w="491"/>
                  <w:tcBorders>
                    <w:top w:val="none" w:color="000000" w:sz="4"/>
                    <w:left w:val="single" w:color="000000" w:sz="4"/>
                    <w:bottom w:val="single" w:color="000000" w:sz="4"/>
                    <w:right w:val="single" w:color="000000" w:sz="4"/>
                  </w:tcBorders>
                  <w:vAlign w:val="top"/>
                </w:tcPr>
                <w:p>
                  <w:pPr>
                    <w:jc w:val="center"/>
                  </w:pPr>
                  <w:r>
                    <w:rPr>
                      <w:sz w:val="21"/>
                    </w:rPr>
                    <w:t>月度</w:t>
                  </w:r>
                </w:p>
              </w:tc>
              <w:tc>
                <w:tcPr>
                  <w:tcW w:type="dxa" w:w="642"/>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574"/>
                  <w:tcBorders>
                    <w:top w:val="none" w:color="000000" w:sz="4"/>
                    <w:left w:val="single" w:color="000000" w:sz="4"/>
                    <w:bottom w:val="single" w:color="000000" w:sz="4"/>
                    <w:right w:val="single" w:color="000000" w:sz="4"/>
                  </w:tcBorders>
                  <w:vAlign w:val="top"/>
                </w:tcPr>
                <w:p>
                  <w:pPr>
                    <w:jc w:val="center"/>
                  </w:pPr>
                  <w:r>
                    <w:rPr>
                      <w:sz w:val="21"/>
                    </w:rPr>
                    <w:t>4000元/月</w:t>
                  </w:r>
                </w:p>
              </w:tc>
              <w:tc>
                <w:tcPr>
                  <w:tcW w:type="dxa" w:w="938"/>
                  <w:tcBorders>
                    <w:top w:val="none" w:color="000000" w:sz="4"/>
                    <w:left w:val="single" w:color="000000" w:sz="4"/>
                    <w:bottom w:val="single" w:color="000000" w:sz="4"/>
                    <w:right w:val="single" w:color="000000" w:sz="4"/>
                  </w:tcBorders>
                  <w:vAlign w:val="top"/>
                </w:tcPr>
                <w:p>
                  <w:pPr>
                    <w:jc w:val="center"/>
                  </w:pPr>
                  <w:r>
                    <w:rPr>
                      <w:sz w:val="21"/>
                    </w:rPr>
                    <w:t>48000.00元</w:t>
                  </w:r>
                </w:p>
              </w:tc>
            </w:tr>
            <w:tr>
              <w:tc>
                <w:tcPr>
                  <w:tcW w:type="dxa" w:w="299"/>
                  <w:tcBorders>
                    <w:top w:val="none" w:color="000000" w:sz="4"/>
                    <w:left w:val="single" w:color="000000" w:sz="4"/>
                    <w:bottom w:val="single" w:color="000000" w:sz="4"/>
                    <w:right w:val="single" w:color="000000" w:sz="4"/>
                  </w:tcBorders>
                  <w:vAlign w:val="top"/>
                </w:tcPr>
                <w:p>
                  <w:pPr>
                    <w:jc w:val="center"/>
                  </w:pPr>
                  <w:r>
                    <w:rPr>
                      <w:sz w:val="21"/>
                    </w:rPr>
                    <w:t>6</w:t>
                  </w:r>
                </w:p>
              </w:tc>
              <w:tc>
                <w:tcPr>
                  <w:tcW w:type="dxa" w:w="883"/>
                  <w:tcBorders>
                    <w:top w:val="none" w:color="000000" w:sz="4"/>
                    <w:left w:val="single" w:color="000000" w:sz="4"/>
                    <w:bottom w:val="single" w:color="000000" w:sz="4"/>
                    <w:right w:val="single" w:color="000000" w:sz="4"/>
                  </w:tcBorders>
                  <w:vAlign w:val="top"/>
                </w:tcPr>
                <w:p>
                  <w:pPr>
                    <w:jc w:val="center"/>
                  </w:pPr>
                  <w:r>
                    <w:rPr>
                      <w:sz w:val="21"/>
                    </w:rPr>
                    <w:t>报告编写</w:t>
                  </w:r>
                </w:p>
              </w:tc>
              <w:tc>
                <w:tcPr>
                  <w:tcW w:type="dxa" w:w="1771"/>
                  <w:tcBorders>
                    <w:top w:val="none" w:color="000000" w:sz="4"/>
                    <w:left w:val="single" w:color="000000" w:sz="4"/>
                    <w:bottom w:val="single" w:color="000000" w:sz="4"/>
                    <w:right w:val="single" w:color="000000" w:sz="4"/>
                  </w:tcBorders>
                  <w:vAlign w:val="top"/>
                </w:tcPr>
                <w:p>
                  <w:pPr>
                    <w:jc w:val="left"/>
                  </w:pPr>
                  <w:r>
                    <w:rPr>
                      <w:sz w:val="21"/>
                    </w:rPr>
                    <w:t>对卫片执法图斑进行数据分析、整理、检查和报告编写</w:t>
                  </w:r>
                </w:p>
              </w:tc>
              <w:tc>
                <w:tcPr>
                  <w:tcW w:type="dxa" w:w="491"/>
                  <w:tcBorders>
                    <w:top w:val="none" w:color="000000" w:sz="4"/>
                    <w:left w:val="single" w:color="000000" w:sz="4"/>
                    <w:bottom w:val="single" w:color="000000" w:sz="4"/>
                    <w:right w:val="single" w:color="000000" w:sz="4"/>
                  </w:tcBorders>
                  <w:vAlign w:val="top"/>
                </w:tcPr>
                <w:p>
                  <w:pPr>
                    <w:jc w:val="center"/>
                  </w:pPr>
                  <w:r>
                    <w:rPr>
                      <w:sz w:val="21"/>
                    </w:rPr>
                    <w:t>项</w:t>
                  </w:r>
                </w:p>
              </w:tc>
              <w:tc>
                <w:tcPr>
                  <w:tcW w:type="dxa" w:w="642"/>
                  <w:tcBorders>
                    <w:top w:val="none" w:color="000000" w:sz="4"/>
                    <w:left w:val="single" w:color="000000" w:sz="4"/>
                    <w:bottom w:val="single" w:color="000000" w:sz="4"/>
                    <w:right w:val="single" w:color="000000" w:sz="4"/>
                  </w:tcBorders>
                  <w:vAlign w:val="top"/>
                </w:tcPr>
                <w:p>
                  <w:pPr>
                    <w:jc w:val="center"/>
                  </w:pPr>
                  <w:r>
                    <w:rPr>
                      <w:sz w:val="21"/>
                    </w:rPr>
                    <w:t>1</w:t>
                  </w:r>
                </w:p>
              </w:tc>
              <w:tc>
                <w:tcPr>
                  <w:tcW w:type="dxa" w:w="574"/>
                  <w:tcBorders>
                    <w:top w:val="none" w:color="000000" w:sz="4"/>
                    <w:left w:val="single" w:color="000000" w:sz="4"/>
                    <w:bottom w:val="single" w:color="000000" w:sz="4"/>
                    <w:right w:val="single" w:color="000000" w:sz="4"/>
                  </w:tcBorders>
                  <w:vAlign w:val="top"/>
                </w:tcPr>
                <w:p>
                  <w:pPr>
                    <w:jc w:val="center"/>
                  </w:pPr>
                  <w:r>
                    <w:rPr>
                      <w:sz w:val="21"/>
                    </w:rPr>
                    <w:t>10000元/项</w:t>
                  </w:r>
                </w:p>
              </w:tc>
              <w:tc>
                <w:tcPr>
                  <w:tcW w:type="dxa" w:w="938"/>
                  <w:tcBorders>
                    <w:top w:val="none" w:color="000000" w:sz="4"/>
                    <w:left w:val="single" w:color="000000" w:sz="4"/>
                    <w:bottom w:val="single" w:color="000000" w:sz="4"/>
                    <w:right w:val="single" w:color="000000" w:sz="4"/>
                  </w:tcBorders>
                  <w:vAlign w:val="top"/>
                </w:tcPr>
                <w:p>
                  <w:pPr>
                    <w:jc w:val="center"/>
                  </w:pPr>
                  <w:r>
                    <w:rPr>
                      <w:sz w:val="21"/>
                    </w:rPr>
                    <w:t>10000.00元</w:t>
                  </w:r>
                </w:p>
              </w:tc>
            </w:tr>
            <w:tr>
              <w:tc>
                <w:tcPr>
                  <w:tcW w:type="dxa" w:w="4660"/>
                  <w:gridSpan w:val="6"/>
                  <w:tcBorders>
                    <w:top w:val="none" w:color="000000" w:sz="4"/>
                    <w:left w:val="single" w:color="000000" w:sz="4"/>
                    <w:bottom w:val="single" w:color="000000" w:sz="4"/>
                    <w:right w:val="single" w:color="000000" w:sz="4"/>
                  </w:tcBorders>
                  <w:vAlign w:val="top"/>
                </w:tcPr>
                <w:p>
                  <w:pPr>
                    <w:jc w:val="center"/>
                  </w:pPr>
                  <w:r>
                    <w:rPr>
                      <w:b/>
                      <w:sz w:val="21"/>
                    </w:rPr>
                    <w:t>合计</w:t>
                  </w:r>
                </w:p>
              </w:tc>
              <w:tc>
                <w:tcPr>
                  <w:tcW w:type="dxa" w:w="938"/>
                  <w:tcBorders>
                    <w:top w:val="none" w:color="000000" w:sz="4"/>
                    <w:left w:val="single" w:color="000000" w:sz="4"/>
                    <w:bottom w:val="single" w:color="000000" w:sz="4"/>
                    <w:right w:val="single" w:color="000000" w:sz="4"/>
                  </w:tcBorders>
                  <w:vAlign w:val="top"/>
                </w:tcPr>
                <w:p>
                  <w:pPr>
                    <w:jc w:val="center"/>
                  </w:pPr>
                  <w:r>
                    <w:rPr>
                      <w:b/>
                      <w:sz w:val="21"/>
                    </w:rPr>
                    <w:t>278000.00元</w:t>
                  </w:r>
                </w:p>
              </w:tc>
            </w:tr>
          </w:tbl>
          <w:p>
            <w:r>
              <w:rPr>
                <w:sz w:val="21"/>
              </w:rPr>
              <w:t>注：</w:t>
            </w:r>
          </w:p>
          <w:p>
            <w:r>
              <w:rPr>
                <w:sz w:val="21"/>
              </w:rPr>
              <w:t>①上表中“图斑判定”、“底图制作”和“</w:t>
            </w:r>
            <w:r>
              <w:rPr>
                <w:sz w:val="21"/>
              </w:rPr>
              <w:t>实地举证</w:t>
            </w:r>
            <w:r>
              <w:rPr>
                <w:sz w:val="21"/>
              </w:rPr>
              <w:t>”的工作量为预估数，如成交供应商实际完成的工作量小于预估数的，则根据“图斑判定”、“底图制作”和“实地举证”工作项的成交单价及实际完成的工作量进行按实结算；如成交供应商实际完成的工作量大于预估数的，成交供应商须按“图斑判定”、“底图制作”和“实地举证”工作项的成交总金额以包干形式完成所有“图斑判定”、“底图制作”和“实地举证”工作，供应商对此必须充分考虑，采购人将不再为此另行支付任何费用。</w:t>
            </w:r>
          </w:p>
          <w:p>
            <w:r>
              <w:rPr>
                <w:sz w:val="21"/>
              </w:rPr>
              <w:t>②“资料收集及设备准备”、“数据整理上报”、“报告编写”工作项的工作量也为预估数，结算时根据该工作项的成交单价及实际完成的工作量进行按实结算。</w:t>
            </w:r>
          </w:p>
          <w:p>
            <w:r>
              <w:rPr>
                <w:sz w:val="21"/>
              </w:rPr>
              <w:t>③项目实施过程中如省厅下达新的文件要求，成交供应商都必须以其成交金额按要求完成所有工作，采购人将不再为此另行支付任何费用。</w:t>
            </w:r>
          </w:p>
          <w:p>
            <w:pPr>
              <w:jc w:val="center"/>
            </w:pPr>
            <w:r>
              <w:rPr/>
              <w:t xml:space="preserve"> </w:t>
            </w:r>
          </w:p>
          <w:p>
            <w:pPr>
              <w:jc w:val="center"/>
            </w:pPr>
            <w:r>
              <w:rPr>
                <w:b/>
                <w:sz w:val="21"/>
              </w:rPr>
              <w:t>1.4新兴县2023年度耕地卫片监督</w:t>
            </w:r>
          </w:p>
          <w:tbl>
            <w:tblPr>
              <w:tblBorders>
                <w:top w:val="none" w:color="000000" w:sz="4"/>
                <w:left w:val="none" w:color="000000" w:sz="4"/>
                <w:bottom w:val="none" w:color="000000" w:sz="4"/>
                <w:right w:val="none" w:color="000000" w:sz="4"/>
                <w:insideH w:val="none"/>
                <w:insideV w:val="none"/>
              </w:tblBorders>
            </w:tblPr>
            <w:tblGrid>
              <w:gridCol w:w="303"/>
              <w:gridCol w:w="887"/>
              <w:gridCol w:w="1772"/>
              <w:gridCol w:w="484"/>
              <w:gridCol w:w="622"/>
              <w:gridCol w:w="587"/>
              <w:gridCol w:w="943"/>
            </w:tblGrid>
            <w:tr>
              <w:tc>
                <w:tcPr>
                  <w:tcW w:type="dxa" w:w="303"/>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887"/>
                  <w:tcBorders>
                    <w:top w:val="single" w:color="000000" w:sz="4"/>
                    <w:left w:val="single" w:color="000000" w:sz="4"/>
                    <w:bottom w:val="single" w:color="000000" w:sz="4"/>
                    <w:right w:val="single" w:color="000000" w:sz="4"/>
                  </w:tcBorders>
                  <w:vAlign w:val="top"/>
                </w:tcPr>
                <w:p>
                  <w:pPr>
                    <w:jc w:val="center"/>
                  </w:pPr>
                  <w:r>
                    <w:rPr>
                      <w:b/>
                      <w:sz w:val="21"/>
                    </w:rPr>
                    <w:t>工作项</w:t>
                  </w:r>
                </w:p>
              </w:tc>
              <w:tc>
                <w:tcPr>
                  <w:tcW w:type="dxa" w:w="1772"/>
                  <w:tcBorders>
                    <w:top w:val="single" w:color="000000" w:sz="4"/>
                    <w:left w:val="single" w:color="000000" w:sz="4"/>
                    <w:bottom w:val="single" w:color="000000" w:sz="4"/>
                    <w:right w:val="single" w:color="000000" w:sz="4"/>
                  </w:tcBorders>
                  <w:vAlign w:val="top"/>
                </w:tcPr>
                <w:p>
                  <w:pPr>
                    <w:jc w:val="center"/>
                  </w:pPr>
                  <w:r>
                    <w:rPr>
                      <w:b/>
                      <w:sz w:val="21"/>
                    </w:rPr>
                    <w:t>工作内容</w:t>
                  </w:r>
                </w:p>
              </w:tc>
              <w:tc>
                <w:tcPr>
                  <w:tcW w:type="dxa" w:w="484"/>
                  <w:tcBorders>
                    <w:top w:val="single" w:color="000000" w:sz="4"/>
                    <w:left w:val="single" w:color="000000" w:sz="4"/>
                    <w:bottom w:val="single" w:color="000000" w:sz="4"/>
                    <w:right w:val="single" w:color="000000" w:sz="4"/>
                  </w:tcBorders>
                  <w:vAlign w:val="top"/>
                </w:tcPr>
                <w:p>
                  <w:pPr>
                    <w:jc w:val="center"/>
                  </w:pPr>
                  <w:r>
                    <w:rPr>
                      <w:b/>
                      <w:sz w:val="21"/>
                    </w:rPr>
                    <w:t>单位</w:t>
                  </w:r>
                </w:p>
              </w:tc>
              <w:tc>
                <w:tcPr>
                  <w:tcW w:type="dxa" w:w="622"/>
                  <w:tcBorders>
                    <w:top w:val="single" w:color="000000" w:sz="4"/>
                    <w:left w:val="single" w:color="000000" w:sz="4"/>
                    <w:bottom w:val="single" w:color="000000" w:sz="4"/>
                    <w:right w:val="single" w:color="000000" w:sz="4"/>
                  </w:tcBorders>
                  <w:vAlign w:val="top"/>
                </w:tcPr>
                <w:p>
                  <w:pPr>
                    <w:jc w:val="center"/>
                  </w:pPr>
                  <w:r>
                    <w:rPr>
                      <w:b/>
                      <w:sz w:val="21"/>
                    </w:rPr>
                    <w:t>工作量</w:t>
                  </w:r>
                </w:p>
              </w:tc>
              <w:tc>
                <w:tcPr>
                  <w:tcW w:type="dxa" w:w="587"/>
                  <w:tcBorders>
                    <w:top w:val="single" w:color="000000" w:sz="4"/>
                    <w:left w:val="single" w:color="000000" w:sz="4"/>
                    <w:bottom w:val="single" w:color="000000" w:sz="4"/>
                    <w:right w:val="single" w:color="000000" w:sz="4"/>
                  </w:tcBorders>
                  <w:vAlign w:val="top"/>
                </w:tcPr>
                <w:p>
                  <w:pPr>
                    <w:jc w:val="center"/>
                  </w:pPr>
                  <w:r>
                    <w:rPr>
                      <w:b/>
                      <w:sz w:val="21"/>
                    </w:rPr>
                    <w:t>单价最高限价</w:t>
                  </w:r>
                </w:p>
              </w:tc>
              <w:tc>
                <w:tcPr>
                  <w:tcW w:type="dxa" w:w="943"/>
                  <w:tcBorders>
                    <w:top w:val="single" w:color="000000" w:sz="4"/>
                    <w:left w:val="single" w:color="000000" w:sz="4"/>
                    <w:bottom w:val="single" w:color="000000" w:sz="4"/>
                    <w:right w:val="single" w:color="000000" w:sz="4"/>
                  </w:tcBorders>
                  <w:vAlign w:val="top"/>
                </w:tcPr>
                <w:p>
                  <w:pPr>
                    <w:jc w:val="center"/>
                  </w:pPr>
                  <w:r>
                    <w:rPr>
                      <w:b/>
                      <w:sz w:val="21"/>
                    </w:rPr>
                    <w:t>预算金额</w:t>
                  </w:r>
                </w:p>
              </w:tc>
            </w:tr>
            <w:tr>
              <w:tc>
                <w:tcPr>
                  <w:tcW w:type="dxa" w:w="303"/>
                  <w:tcBorders>
                    <w:top w:val="none" w:color="000000" w:sz="4"/>
                    <w:left w:val="single" w:color="000000" w:sz="4"/>
                    <w:bottom w:val="single" w:color="000000" w:sz="4"/>
                    <w:right w:val="single" w:color="000000" w:sz="4"/>
                  </w:tcBorders>
                  <w:vAlign w:val="top"/>
                </w:tcPr>
                <w:p>
                  <w:pPr>
                    <w:jc w:val="center"/>
                  </w:pPr>
                  <w:r>
                    <w:rPr>
                      <w:sz w:val="21"/>
                    </w:rPr>
                    <w:t>1</w:t>
                  </w:r>
                </w:p>
              </w:tc>
              <w:tc>
                <w:tcPr>
                  <w:tcW w:type="dxa" w:w="887"/>
                  <w:tcBorders>
                    <w:top w:val="none" w:color="000000" w:sz="4"/>
                    <w:left w:val="single" w:color="000000" w:sz="4"/>
                    <w:bottom w:val="single" w:color="000000" w:sz="4"/>
                    <w:right w:val="single" w:color="000000" w:sz="4"/>
                  </w:tcBorders>
                  <w:vAlign w:val="top"/>
                </w:tcPr>
                <w:p>
                  <w:pPr>
                    <w:jc w:val="center"/>
                  </w:pPr>
                  <w:r>
                    <w:rPr>
                      <w:sz w:val="21"/>
                    </w:rPr>
                    <w:t>外业实地举证</w:t>
                  </w:r>
                </w:p>
              </w:tc>
              <w:tc>
                <w:tcPr>
                  <w:tcW w:type="dxa" w:w="1772"/>
                  <w:tcBorders>
                    <w:top w:val="none" w:color="000000" w:sz="4"/>
                    <w:left w:val="single" w:color="000000" w:sz="4"/>
                    <w:bottom w:val="single" w:color="000000" w:sz="4"/>
                    <w:right w:val="single" w:color="000000" w:sz="4"/>
                  </w:tcBorders>
                  <w:vAlign w:val="top"/>
                </w:tcPr>
                <w:p>
                  <w:pPr>
                    <w:jc w:val="center"/>
                  </w:pPr>
                  <w:r>
                    <w:rPr>
                      <w:sz w:val="21"/>
                    </w:rPr>
                    <w:t>实地逐图斑现场核查</w:t>
                  </w:r>
                  <w:r>
                    <w:rPr>
                      <w:sz w:val="21"/>
                    </w:rPr>
                    <w:t>,开展土地利用情况及核实拍照</w:t>
                  </w:r>
                </w:p>
              </w:tc>
              <w:tc>
                <w:tcPr>
                  <w:tcW w:type="dxa" w:w="484"/>
                  <w:tcBorders>
                    <w:top w:val="none" w:color="000000" w:sz="4"/>
                    <w:left w:val="single" w:color="000000" w:sz="4"/>
                    <w:bottom w:val="single" w:color="000000" w:sz="4"/>
                    <w:right w:val="single" w:color="000000" w:sz="4"/>
                  </w:tcBorders>
                  <w:vAlign w:val="top"/>
                </w:tcPr>
                <w:p>
                  <w:pPr>
                    <w:jc w:val="center"/>
                  </w:pPr>
                  <w:r>
                    <w:rPr>
                      <w:sz w:val="21"/>
                    </w:rPr>
                    <w:t>个</w:t>
                  </w:r>
                </w:p>
              </w:tc>
              <w:tc>
                <w:tcPr>
                  <w:tcW w:type="dxa" w:w="622"/>
                  <w:tcBorders>
                    <w:top w:val="none" w:color="000000" w:sz="4"/>
                    <w:left w:val="single" w:color="000000" w:sz="4"/>
                    <w:bottom w:val="single" w:color="000000" w:sz="4"/>
                    <w:right w:val="single" w:color="000000" w:sz="4"/>
                  </w:tcBorders>
                  <w:vAlign w:val="top"/>
                </w:tcPr>
                <w:p>
                  <w:pPr>
                    <w:jc w:val="center"/>
                  </w:pPr>
                  <w:r>
                    <w:rPr>
                      <w:sz w:val="21"/>
                    </w:rPr>
                    <w:t>预估数：</w:t>
                  </w:r>
                  <w:r>
                    <w:rPr>
                      <w:sz w:val="21"/>
                    </w:rPr>
                    <w:t>1100</w:t>
                  </w:r>
                </w:p>
              </w:tc>
              <w:tc>
                <w:tcPr>
                  <w:tcW w:type="dxa" w:w="587"/>
                  <w:tcBorders>
                    <w:top w:val="none" w:color="000000" w:sz="4"/>
                    <w:left w:val="single" w:color="000000" w:sz="4"/>
                    <w:bottom w:val="single" w:color="000000" w:sz="4"/>
                    <w:right w:val="single" w:color="000000" w:sz="4"/>
                  </w:tcBorders>
                  <w:vAlign w:val="top"/>
                </w:tcPr>
                <w:p>
                  <w:pPr>
                    <w:jc w:val="center"/>
                  </w:pPr>
                  <w:r>
                    <w:rPr>
                      <w:sz w:val="21"/>
                    </w:rPr>
                    <w:t>150元/个</w:t>
                  </w:r>
                </w:p>
              </w:tc>
              <w:tc>
                <w:tcPr>
                  <w:tcW w:type="dxa" w:w="943"/>
                  <w:tcBorders>
                    <w:top w:val="none" w:color="000000" w:sz="4"/>
                    <w:left w:val="single" w:color="000000" w:sz="4"/>
                    <w:bottom w:val="single" w:color="000000" w:sz="4"/>
                    <w:right w:val="single" w:color="000000" w:sz="4"/>
                  </w:tcBorders>
                  <w:vAlign w:val="top"/>
                </w:tcPr>
                <w:p>
                  <w:pPr>
                    <w:jc w:val="center"/>
                  </w:pPr>
                  <w:r>
                    <w:rPr>
                      <w:sz w:val="21"/>
                    </w:rPr>
                    <w:t>165000.00元</w:t>
                  </w:r>
                </w:p>
              </w:tc>
            </w:tr>
            <w:tr>
              <w:tc>
                <w:tcPr>
                  <w:tcW w:type="dxa" w:w="4655"/>
                  <w:gridSpan w:val="6"/>
                  <w:tcBorders>
                    <w:top w:val="none" w:color="000000" w:sz="4"/>
                    <w:left w:val="single" w:color="000000" w:sz="4"/>
                    <w:bottom w:val="single" w:color="000000" w:sz="4"/>
                    <w:right w:val="single" w:color="000000" w:sz="4"/>
                  </w:tcBorders>
                  <w:vAlign w:val="top"/>
                </w:tcPr>
                <w:p>
                  <w:pPr>
                    <w:jc w:val="center"/>
                  </w:pPr>
                  <w:r>
                    <w:rPr>
                      <w:b/>
                      <w:sz w:val="21"/>
                    </w:rPr>
                    <w:t>合计</w:t>
                  </w:r>
                </w:p>
              </w:tc>
              <w:tc>
                <w:tcPr>
                  <w:tcW w:type="dxa" w:w="943"/>
                  <w:tcBorders>
                    <w:top w:val="none" w:color="000000" w:sz="4"/>
                    <w:left w:val="single" w:color="000000" w:sz="4"/>
                    <w:bottom w:val="single" w:color="000000" w:sz="4"/>
                    <w:right w:val="single" w:color="000000" w:sz="4"/>
                  </w:tcBorders>
                  <w:vAlign w:val="top"/>
                </w:tcPr>
                <w:p>
                  <w:pPr>
                    <w:jc w:val="center"/>
                  </w:pPr>
                  <w:r>
                    <w:rPr>
                      <w:b/>
                      <w:sz w:val="21"/>
                    </w:rPr>
                    <w:t>165000.00元</w:t>
                  </w:r>
                </w:p>
              </w:tc>
            </w:tr>
          </w:tbl>
          <w:p>
            <w:r>
              <w:rPr>
                <w:sz w:val="21"/>
              </w:rPr>
              <w:t>注：</w:t>
            </w:r>
          </w:p>
          <w:p>
            <w:r>
              <w:rPr>
                <w:sz w:val="21"/>
              </w:rPr>
              <w:t>①</w:t>
            </w:r>
            <w:r>
              <w:rPr>
                <w:sz w:val="21"/>
              </w:rPr>
              <w:t>上表中</w:t>
            </w:r>
            <w:r>
              <w:rPr>
                <w:sz w:val="21"/>
              </w:rPr>
              <w:t>“外业实地举证”的工作量为预估数，如成交供应商实际完成的工作量小于预估数的，则根据“外业实地举证”工作项的成交单价及实际完成的工作量进行按实结算；如成交供应商实际完成的工作量大于预估数的，成交供应商须按“外业实地举证”工作项的成交总金额以包干形式完成所有“外业实地举证”工作，供应商对此必须充分考虑，采购人将不再为此另行支付任何费用。</w:t>
            </w:r>
          </w:p>
          <w:p>
            <w:r>
              <w:rPr>
                <w:sz w:val="21"/>
              </w:rPr>
              <w:t>②项目实施过程中如省厅下达新的文件要求，成交供应商都必须以其成交金额按要求完成所有工作，采购人将不再为此另行支付任何费用。</w:t>
            </w:r>
          </w:p>
        </w:tc>
      </w:tr>
      <w:tr>
        <w:tc>
          <w:tcPr>
            <w:tcW w:type="dxa" w:w="2076"/>
          </w:tcPr>
          <w:p/>
        </w:tc>
        <w:tc>
          <w:tcPr>
            <w:tcW w:type="dxa" w:w="415"/>
          </w:tcPr>
          <w:p>
            <w:r>
              <w:rPr/>
              <w:t>2</w:t>
            </w:r>
          </w:p>
        </w:tc>
        <w:tc>
          <w:tcPr>
            <w:tcW w:type="dxa" w:w="5814"/>
          </w:tcPr>
          <w:p>
            <w:r>
              <w:rPr>
                <w:b/>
                <w:sz w:val="22"/>
              </w:rPr>
              <w:t>（</w:t>
            </w:r>
            <w:r>
              <w:rPr>
                <w:b/>
                <w:sz w:val="22"/>
              </w:rPr>
              <w:t>2</w:t>
            </w:r>
            <w:r>
              <w:rPr>
                <w:b/>
                <w:sz w:val="22"/>
              </w:rPr>
              <w:t>）</w:t>
            </w:r>
            <w:r>
              <w:rPr>
                <w:b/>
                <w:sz w:val="22"/>
              </w:rPr>
              <w:t>规范性引用文件</w:t>
            </w:r>
          </w:p>
          <w:p>
            <w:r>
              <w:rPr>
                <w:b/>
                <w:sz w:val="21"/>
              </w:rPr>
              <w:t>2.1新兴县2023年度自然资源常态化监测、2023年度全国国土变更调查</w:t>
            </w:r>
          </w:p>
          <w:p>
            <w:r>
              <w:rPr>
                <w:b/>
                <w:sz w:val="21"/>
              </w:rPr>
              <w:t>2.1.1政策依据</w:t>
            </w:r>
          </w:p>
          <w:p>
            <w:r>
              <w:rPr>
                <w:sz w:val="21"/>
              </w:rPr>
              <w:t>2.1.1.1《自然资源部关于印发&lt;自然资源调查监测体系构建总体方案&gt;的通知》（自然资发〔2020〕15号）</w:t>
            </w:r>
          </w:p>
          <w:p>
            <w:r>
              <w:rPr>
                <w:sz w:val="21"/>
              </w:rPr>
              <w:t>2.1.1.2《自然资源部关于印发&lt;自然资源部信息化建设总体方案&gt;的通知》（自然资发〔2019〕170号）</w:t>
            </w:r>
          </w:p>
          <w:p>
            <w:r>
              <w:rPr>
                <w:sz w:val="21"/>
              </w:rPr>
              <w:t>2.1.1.3《关于统筹推进自然资源资产产权制度改革的指导意见》</w:t>
            </w:r>
          </w:p>
          <w:p>
            <w:r>
              <w:rPr>
                <w:sz w:val="21"/>
              </w:rPr>
              <w:t>2.1.1.4《广东省自然资源调查监测试点工作方案》（粤自然资调查〔2020〕1321号）</w:t>
            </w:r>
          </w:p>
          <w:p>
            <w:r>
              <w:rPr>
                <w:b/>
                <w:sz w:val="21"/>
              </w:rPr>
              <w:t>2.1.2技术依据</w:t>
            </w:r>
          </w:p>
          <w:p>
            <w:r>
              <w:rPr>
                <w:sz w:val="21"/>
              </w:rPr>
              <w:t>2.1.2.1《第三次全国国土调查技术规程》（TD/T 1055-2019）</w:t>
            </w:r>
          </w:p>
          <w:p>
            <w:r>
              <w:rPr>
                <w:sz w:val="21"/>
              </w:rPr>
              <w:t>2.1.2.2《土地利用现状分类》（GB/T 21010-2017）</w:t>
            </w:r>
          </w:p>
          <w:p>
            <w:r>
              <w:rPr>
                <w:b/>
                <w:sz w:val="21"/>
              </w:rPr>
              <w:t>2.1.3技术参考</w:t>
            </w:r>
          </w:p>
          <w:p>
            <w:r>
              <w:rPr>
                <w:sz w:val="21"/>
              </w:rPr>
              <w:t>2.1.3.1《国家森林资源连续清查技术规定》（林资发〔2004〕25号）</w:t>
            </w:r>
          </w:p>
          <w:p>
            <w:r>
              <w:rPr>
                <w:sz w:val="21"/>
              </w:rPr>
              <w:t>2.1.3.2《&lt;国家森林资源连续清查技术规定&gt;补充规定（试行）》</w:t>
            </w:r>
          </w:p>
          <w:p>
            <w:r>
              <w:rPr>
                <w:sz w:val="21"/>
              </w:rPr>
              <w:t>2.1.3.3《国家森林资源连续清查技术规定补充技术规定》</w:t>
            </w:r>
          </w:p>
          <w:p>
            <w:r>
              <w:rPr>
                <w:sz w:val="21"/>
              </w:rPr>
              <w:t>2.1.3.4《全国湿地资源调查技术规程（试行）》</w:t>
            </w:r>
          </w:p>
          <w:p>
            <w:r>
              <w:rPr>
                <w:sz w:val="21"/>
              </w:rPr>
              <w:t>2.1.3.5《第一次全国水利普查空间数据采集与处理技术规定》</w:t>
            </w:r>
          </w:p>
          <w:p>
            <w:r>
              <w:rPr>
                <w:sz w:val="21"/>
              </w:rPr>
              <w:t>2.1.3.6《水文调查规范》（SL 196-2015）</w:t>
            </w:r>
          </w:p>
          <w:p>
            <w:r>
              <w:rPr>
                <w:sz w:val="21"/>
              </w:rPr>
              <w:t>2.1.3.7《海洋调查规范》（GB/T 12763）</w:t>
            </w:r>
          </w:p>
          <w:p>
            <w:r>
              <w:rPr>
                <w:sz w:val="21"/>
              </w:rPr>
              <w:t>2.1.3.8《海籍调查规范》（HY/T 124-2009）</w:t>
            </w:r>
          </w:p>
          <w:p>
            <w:r>
              <w:rPr>
                <w:sz w:val="21"/>
              </w:rPr>
              <w:t>2.1.3.9《无居民海岛开发利用测量规范》（HY/T 250-2018）</w:t>
            </w:r>
          </w:p>
          <w:p>
            <w:r>
              <w:rPr>
                <w:sz w:val="21"/>
              </w:rPr>
              <w:t>2.1.3.10《固体矿产地质勘查规范总则》（GB/T 13908-2020）</w:t>
            </w:r>
          </w:p>
          <w:p>
            <w:r>
              <w:rPr>
                <w:sz w:val="21"/>
              </w:rPr>
              <w:t>2.1.3.11《矿产资源综合勘查评价规范》（GB/T 25283-2010）</w:t>
            </w:r>
          </w:p>
          <w:p>
            <w:r>
              <w:rPr>
                <w:sz w:val="21"/>
              </w:rPr>
              <w:t>2.1.3.12《中国土壤分类与代码》（GB/T 17296-2009）</w:t>
            </w:r>
          </w:p>
          <w:p>
            <w:r>
              <w:rPr>
                <w:sz w:val="21"/>
              </w:rPr>
              <w:t>2.1.3.13《岩石分类和命名方案》（GB/T 17412-1998）</w:t>
            </w:r>
          </w:p>
          <w:p>
            <w:r>
              <w:rPr>
                <w:sz w:val="21"/>
              </w:rPr>
              <w:t>2.1.3.14《耕地后备资源调查与评价技术规程》（TD/T 1007-2003）</w:t>
            </w:r>
          </w:p>
          <w:p>
            <w:r>
              <w:rPr>
                <w:b/>
                <w:sz w:val="21"/>
              </w:rPr>
              <w:t>2.2新兴县2023年度卫片执法技术服务</w:t>
            </w:r>
          </w:p>
          <w:p>
            <w:r>
              <w:rPr>
                <w:sz w:val="21"/>
              </w:rPr>
              <w:t>2.2.1《第三次全国国土调查技术规程》（TD/T 1055-2019）</w:t>
            </w:r>
          </w:p>
          <w:p>
            <w:r>
              <w:rPr>
                <w:sz w:val="21"/>
              </w:rPr>
              <w:t>2.2.2《土地利用现状分类》(GB/T 21010-2017)</w:t>
            </w:r>
          </w:p>
          <w:p>
            <w:r>
              <w:rPr>
                <w:sz w:val="21"/>
              </w:rPr>
              <w:t>2.2.3《广东省自然资源厅关于印发&lt;土地卫片执法图斑核实判定要点（试行）&gt;的通知》</w:t>
            </w:r>
          </w:p>
          <w:p>
            <w:r>
              <w:rPr>
                <w:sz w:val="21"/>
              </w:rPr>
              <w:t>2.2.4《土地利用数据库标准》（TD/T 1016-2007）</w:t>
            </w:r>
          </w:p>
          <w:p>
            <w:r>
              <w:rPr>
                <w:sz w:val="21"/>
              </w:rPr>
              <w:t>2.2.5《自然资源部行政处罚清单》</w:t>
            </w:r>
          </w:p>
          <w:p>
            <w:r>
              <w:rPr>
                <w:sz w:val="21"/>
              </w:rPr>
              <w:t>2.2.6自然资源部《关于严格自然资源执法工作的通知》</w:t>
            </w:r>
          </w:p>
          <w:p>
            <w:r>
              <w:rPr>
                <w:sz w:val="21"/>
              </w:rPr>
              <w:t>2.2.7自然资源部《关于严格自然资源督查工作的通知》</w:t>
            </w:r>
          </w:p>
          <w:p>
            <w:r>
              <w:rPr>
                <w:sz w:val="21"/>
              </w:rPr>
              <w:t>2.2.8《土地管理法》</w:t>
            </w:r>
          </w:p>
          <w:p>
            <w:r>
              <w:rPr>
                <w:sz w:val="21"/>
              </w:rPr>
              <w:t>2.2.9《中华人民共和国土地管理法实施条例》（国务院第256号）</w:t>
            </w:r>
          </w:p>
          <w:p>
            <w:r>
              <w:rPr>
                <w:sz w:val="21"/>
              </w:rPr>
              <w:t>2.2.10《党政领导干部生态环境损害责任追究办法》</w:t>
            </w:r>
          </w:p>
          <w:p>
            <w:r>
              <w:rPr>
                <w:sz w:val="21"/>
              </w:rPr>
              <w:t>2.2.11当年度全国变更调查与遥感监测实施方案（自然资源部）</w:t>
            </w:r>
          </w:p>
          <w:p>
            <w:r>
              <w:rPr>
                <w:sz w:val="21"/>
              </w:rPr>
              <w:t>2.2.12当年度全国变更调查与遥感监测工作的通知（自然资源部）</w:t>
            </w:r>
          </w:p>
          <w:p>
            <w:r>
              <w:rPr>
                <w:sz w:val="21"/>
              </w:rPr>
              <w:t>2.2.13其他相关法律、法规、政策</w:t>
            </w:r>
          </w:p>
          <w:p>
            <w:r>
              <w:rPr>
                <w:b/>
                <w:sz w:val="21"/>
              </w:rPr>
              <w:t>2.3新兴县2023年度耕地卫片监督</w:t>
            </w:r>
          </w:p>
          <w:p>
            <w:r>
              <w:rPr>
                <w:sz w:val="21"/>
              </w:rPr>
              <w:t>2.3.1《自然资源部关于印发&lt;自然资源调查监测体系构建总体方案&gt;的通知》（自然资发〔2020〕15号）</w:t>
            </w:r>
          </w:p>
          <w:p>
            <w:r>
              <w:rPr>
                <w:sz w:val="21"/>
              </w:rPr>
              <w:t>2.3.2《自然资源部关于印发&lt;自然资源部信息化建设总体方案&gt;的通知》（自然资发〔2019〕170号）</w:t>
            </w:r>
          </w:p>
          <w:p>
            <w:r>
              <w:rPr>
                <w:sz w:val="21"/>
              </w:rPr>
              <w:t>2.3.3《关于统筹推进自然资源资产产权制度改革的指导意见》</w:t>
            </w:r>
          </w:p>
          <w:p>
            <w:r>
              <w:rPr>
                <w:sz w:val="21"/>
              </w:rPr>
              <w:t>2.3.4《广东省自然资源调查监测试点工作方案》（粤自然资调查〔2020〕1321号）</w:t>
            </w:r>
          </w:p>
          <w:p>
            <w:r>
              <w:rPr>
                <w:sz w:val="21"/>
              </w:rPr>
              <w:t>2.3.5《广东省自然资源厅 广东省农业农村厅 广东省林业局关于严格耕地用途管制有关问题的通知》（粤自然资函〔2022〕434号）</w:t>
            </w:r>
          </w:p>
          <w:p>
            <w:r>
              <w:rPr>
                <w:sz w:val="21"/>
              </w:rPr>
              <w:t>2.3.6《广东省自然资源厅 广东省农业农村厅关于加强耕地保护有关工作的通知》（粤自然资函〔2022〕372号）</w:t>
            </w:r>
          </w:p>
          <w:p>
            <w:r>
              <w:rPr>
                <w:sz w:val="21"/>
              </w:rPr>
              <w:t>2.3.7《自然资源部办公厅关于启用耕地卫片监督与进出平衡监管系统有关事项的通知》（自然资办发〔2022〕41号）</w:t>
            </w:r>
          </w:p>
        </w:tc>
      </w:tr>
      <w:tr>
        <w:tc>
          <w:tcPr>
            <w:tcW w:type="dxa" w:w="2076"/>
          </w:tcPr>
          <w:p>
            <w:r>
              <w:rPr/>
              <w:t>★</w:t>
            </w:r>
          </w:p>
        </w:tc>
        <w:tc>
          <w:tcPr>
            <w:tcW w:type="dxa" w:w="415"/>
          </w:tcPr>
          <w:p>
            <w:r>
              <w:rPr/>
              <w:t>3</w:t>
            </w:r>
          </w:p>
        </w:tc>
        <w:tc>
          <w:tcPr>
            <w:tcW w:type="dxa" w:w="5814"/>
          </w:tcPr>
          <w:p/>
          <w:p/>
          <w:p>
            <w:r>
              <w:rPr>
                <w:b/>
                <w:sz w:val="21"/>
              </w:rPr>
              <w:t>（</w:t>
            </w:r>
            <w:r>
              <w:rPr>
                <w:b/>
                <w:sz w:val="21"/>
              </w:rPr>
              <w:t>3）工作具体要求</w:t>
            </w:r>
          </w:p>
          <w:p>
            <w:r>
              <w:rPr>
                <w:b/>
                <w:sz w:val="21"/>
              </w:rPr>
              <w:t>3.1新兴县2023年度自然资源常态化监测</w:t>
            </w:r>
          </w:p>
          <w:p>
            <w:r>
              <w:rPr>
                <w:b/>
                <w:sz w:val="21"/>
              </w:rPr>
              <w:t>3.1.1工作步骤：</w:t>
            </w:r>
          </w:p>
          <w:p>
            <w:r>
              <w:rPr>
                <w:sz w:val="21"/>
              </w:rPr>
              <w:t>3.1.1.1外业调查：基于综合感知App开展调查举证工作，通过选择不同的业务模块领取不同的任务图斑，并根据拍照要求、外业调查信息填写要求逐图斑开展外业调查举证，完成后提交至内业处理环节。除省级下发调查与举证任务，还可以根据实际工作需求开展自主举证。</w:t>
            </w:r>
          </w:p>
          <w:p>
            <w:r>
              <w:rPr>
                <w:sz w:val="21"/>
              </w:rPr>
              <w:t>3.1.1.2内业填报：完成任务图斑的外业调查后，专项巡查业务需登录广东省自然资源在线巡查系统专项巡查模块完成专项巡查图斑的业务信息填报，其他业务则根据业务类型及信息填报要求，在感知系统（Web端）完成日常调查图斑的业务信息填报，若涉及图斑切割、照片编辑等操作需利用综合感知数据处理系统C/S端完成相应操作，并提交至县审核。</w:t>
            </w:r>
          </w:p>
          <w:p>
            <w:r>
              <w:rPr>
                <w:sz w:val="21"/>
              </w:rPr>
              <w:t>3.1.1.3审核：协助县级根据不同的业务类型，开展任务图斑的边界属性、举证照片、附件材料的审核工作。日常调查和耕地保护由基于感知系统（Web端）审核，审核通过后提交至省级；专项巡查图斑依次分别由县级、市级登录广东省自然资源在线巡查系统专项巡查模块完成县市级审核后提交至省级。</w:t>
            </w:r>
          </w:p>
          <w:p>
            <w:r>
              <w:rPr>
                <w:b/>
                <w:sz w:val="21"/>
              </w:rPr>
              <w:t>3.1.2外业及业务信息填报要求：</w:t>
            </w:r>
          </w:p>
          <w:p>
            <w:pPr>
              <w:ind w:firstLine="420"/>
            </w:pPr>
            <w:r>
              <w:rPr>
                <w:sz w:val="21"/>
              </w:rPr>
              <w:t>外业实地调查工作涉及多个业务时，须同时满足每个业务的外业调查要求。</w:t>
            </w:r>
          </w:p>
          <w:p>
            <w:r>
              <w:rPr>
                <w:sz w:val="21"/>
              </w:rPr>
              <w:t>3.1.2.1拍照要求：</w:t>
            </w:r>
          </w:p>
          <w:p>
            <w:r>
              <w:rPr>
                <w:sz w:val="21"/>
              </w:rPr>
              <w:t>①对准图斑位置水平拍摄，避免对天、对地拍摄，且照片之间有一定的重叠，拼接后能反映出图斑全貌。</w:t>
            </w:r>
          </w:p>
          <w:p>
            <w:r>
              <w:rPr>
                <w:sz w:val="21"/>
              </w:rPr>
              <w:t>②按远景、近景和特征共拍不少于3张照片或视频，以反映实地全貌。</w:t>
            </w:r>
          </w:p>
          <w:p>
            <w:r>
              <w:rPr>
                <w:sz w:val="21"/>
              </w:rPr>
              <w:t>③上报为设施农用地的图斑时，须拍摄图斑内部情况的特征照片；外部不能明显判断建筑用途时，须拍摄内部特征照片。</w:t>
            </w:r>
          </w:p>
          <w:p>
            <w:r>
              <w:rPr>
                <w:sz w:val="21"/>
              </w:rPr>
              <w:t>④面积较大的图斑需多角度、全范围拍摄，避免拍摄点离图斑过远或只拍摄图斑部分特征，拍摄范围应覆盖图斑全貌。</w:t>
            </w:r>
          </w:p>
          <w:p>
            <w:r>
              <w:rPr>
                <w:sz w:val="21"/>
              </w:rPr>
              <w:t>⑤图斑为耕地类型时，须拍作物特征照，用于耕种类型判读。</w:t>
            </w:r>
          </w:p>
          <w:p>
            <w:r>
              <w:rPr>
                <w:sz w:val="21"/>
              </w:rPr>
              <w:t>⑥采用无人机举证要求拍摄不少于2张照片，其中1张在目标图斑正上方俯拍，1张在目标图斑侧向斜拍，拍摄视野范围覆盖图斑范围。符合上述要求的视为完成举证，无需提供远景、近景和特征照片。</w:t>
            </w:r>
          </w:p>
          <w:p>
            <w:r>
              <w:rPr>
                <w:sz w:val="21"/>
              </w:rPr>
              <w:t>3.1.2.2外业调查信息要求：</w:t>
            </w:r>
          </w:p>
          <w:p>
            <w:r>
              <w:rPr>
                <w:sz w:val="21"/>
              </w:rPr>
              <w:t>①日常调查：地类认定以实地现状为准，并需填报国土调查地类名称、耕地类型和种植属性名称等信息。</w:t>
            </w:r>
          </w:p>
          <w:p>
            <w:r>
              <w:rPr>
                <w:sz w:val="21"/>
              </w:rPr>
              <w:t>②专项巡查：需填报位置信息等专项巡查信息，并选填国土调查地类名称、耕地类型和种植属性名称等日常调查信息。</w:t>
            </w:r>
          </w:p>
          <w:p>
            <w:r>
              <w:rPr>
                <w:sz w:val="21"/>
              </w:rPr>
              <w:t>③耕地保护：</w:t>
            </w:r>
          </w:p>
          <w:p>
            <w:r>
              <w:rPr>
                <w:sz w:val="21"/>
              </w:rPr>
              <w:t>a.垦造水田：需填报国土调查地类名称、耕地类型和具体农作物等信息。</w:t>
            </w:r>
          </w:p>
          <w:p>
            <w:r>
              <w:rPr>
                <w:sz w:val="21"/>
              </w:rPr>
              <w:t>b.补充耕地整改：需填报国土调查地类名称、耕地类型、具体农作物、坡度和灌溉条件等信息。</w:t>
            </w:r>
          </w:p>
          <w:p>
            <w:r>
              <w:rPr>
                <w:sz w:val="21"/>
              </w:rPr>
              <w:t>3.1.2.3业务信息填报要求：</w:t>
            </w:r>
          </w:p>
          <w:p>
            <w:pPr>
              <w:ind w:firstLine="420"/>
            </w:pPr>
            <w:r>
              <w:rPr>
                <w:sz w:val="21"/>
              </w:rPr>
              <w:t>业务信息填报是对外业调查后的信息进行分析、检查、修改与完善。</w:t>
            </w:r>
          </w:p>
          <w:p>
            <w:r>
              <w:rPr>
                <w:sz w:val="21"/>
              </w:rPr>
              <w:t>①日常调查：根据外业调查信息对日常调查有关属性信息进行完善填写。</w:t>
            </w:r>
          </w:p>
          <w:p>
            <w:r>
              <w:rPr>
                <w:sz w:val="21"/>
              </w:rPr>
              <w:t>②专项巡查：根据外业调查信息，按照土地卫片执法相关规定，参考图斑套合分析信息，填写完善实际用地情况、上报类型等内业信息，并逐级上报。此项工作在广东省自然资源在线巡查系统专项巡查模块开展。</w:t>
            </w:r>
          </w:p>
          <w:p>
            <w:r>
              <w:rPr>
                <w:sz w:val="21"/>
              </w:rPr>
              <w:t>③耕地保护：垦造水田、补充耕地整改，对外业调查信息进行检查。</w:t>
            </w:r>
          </w:p>
          <w:p>
            <w:r>
              <w:rPr>
                <w:b/>
                <w:sz w:val="21"/>
              </w:rPr>
              <w:t>3.1.3结果信息回流：</w:t>
            </w:r>
          </w:p>
          <w:p>
            <w:pPr>
              <w:ind w:firstLine="420"/>
            </w:pPr>
            <w:r>
              <w:rPr>
                <w:sz w:val="21"/>
              </w:rPr>
              <w:t>对于通过省级审核的图斑，处置结果直接回流至常态化监测工作库；对需整改的违法图斑，由执法部门明确整改措施和整改时限，成交供应商及时组织整改，整改到位后，将图斑转交调查部门按照年度全国国土变更调查的规则进行调查举证，整改结果回流到常态化监测工作库；对于未完成整改或未响应图斑，广东省自然资源厅将持续跟踪监测，在年度国土变更调查中结合工作需要，作为补充核实图斑下发新兴县调查举证。</w:t>
            </w:r>
          </w:p>
          <w:p>
            <w:pPr>
              <w:ind w:firstLine="420"/>
            </w:pPr>
            <w:r>
              <w:rPr>
                <w:sz w:val="21"/>
              </w:rPr>
              <w:t>常态化监测成果通过综合感知服务系统与自然资源一体化管理与服务平台接口，实现常态化监测数据与广东省自然资源三维时空数据库同步。</w:t>
            </w:r>
          </w:p>
          <w:p>
            <w:r>
              <w:rPr>
                <w:b/>
                <w:sz w:val="21"/>
              </w:rPr>
              <w:t>3.2新兴县2023年度全国国土变更调查</w:t>
            </w:r>
          </w:p>
          <w:p>
            <w:r>
              <w:rPr>
                <w:b/>
                <w:sz w:val="21"/>
              </w:rPr>
              <w:t>3.2.1技术方法：</w:t>
            </w:r>
          </w:p>
          <w:p>
            <w:pPr>
              <w:ind w:firstLine="420"/>
            </w:pPr>
            <w:r>
              <w:rPr>
                <w:sz w:val="21"/>
              </w:rPr>
              <w:t>2023年度国土变更调查工作将依托广东省“智能调查云”平台，采用“调查、核查、建库一体化”的作业模式开展国土变更调查工作。利用“互联网+”技术，以单个图斑为对象，从数据下发、外业调查举证、单图斑建库、单图斑成果县级审核、成果上报到单图斑成果省级核查等，进行全生命周期动态跟踪，实现“调核建一体化”的全流程作业及质量控制。调查界线及技术指标如下：</w:t>
            </w:r>
          </w:p>
          <w:p>
            <w:r>
              <w:rPr>
                <w:sz w:val="21"/>
              </w:rPr>
              <w:t>3.2.1.1调查界线：以省级下发调查界线作为控制界线。县级调查界线如果发生变化需要调整，必须依据相关主管部门的批准文件，报自然资源部批准后调整。</w:t>
            </w:r>
          </w:p>
          <w:p>
            <w:r>
              <w:rPr>
                <w:sz w:val="21"/>
              </w:rPr>
              <w:t>3.2.1.2技术指标：2023年度变更调查的数学基础、调查分类、调查精度等技术指标与2022年度变更调查一致，各技术指标如下：</w:t>
            </w:r>
          </w:p>
          <w:p>
            <w:r>
              <w:rPr>
                <w:sz w:val="21"/>
              </w:rPr>
              <w:t>①坐标系统：采用“2000国家大地坐标系”。</w:t>
            </w:r>
          </w:p>
          <w:p>
            <w:r>
              <w:rPr>
                <w:sz w:val="21"/>
              </w:rPr>
              <w:t>②高程基准：采用“1985国家高程基准”。</w:t>
            </w:r>
          </w:p>
          <w:p>
            <w:r>
              <w:rPr>
                <w:sz w:val="21"/>
              </w:rPr>
              <w:t>③投影方式：</w:t>
            </w:r>
          </w:p>
          <w:p>
            <w:r>
              <w:rPr>
                <w:sz w:val="21"/>
              </w:rPr>
              <w:t>a.投影方式采用高斯-克吕格投影。</w:t>
            </w:r>
          </w:p>
          <w:p>
            <w:r>
              <w:rPr>
                <w:sz w:val="21"/>
              </w:rPr>
              <w:t>b.1:2000、1:5000、1:10000比例尺标准分幅图或数据按3度分带。</w:t>
            </w:r>
          </w:p>
          <w:p>
            <w:r>
              <w:rPr>
                <w:sz w:val="21"/>
              </w:rPr>
              <w:t>④分幅及编号：农村土地利用现状更新、城镇村庄内部土地利用现状更新各比例尺标准分幅及编号应符合GB/T 13989-2012的规定。标准分幅采用国际1:1000000地图分幅标准，各比例尺标准分幅图均按规定的经差和纬差划分，采用经、纬度分幅。标准分幅图编号均以1:1000000地形图编号为基础采用行列编号方法。</w:t>
            </w:r>
          </w:p>
          <w:p>
            <w:r>
              <w:rPr>
                <w:sz w:val="21"/>
              </w:rPr>
              <w:t>⑤计量单位：长度单位采用米（m）；面积计算单位采用平方米（m2）；面积统计汇总单位采用公顷（hm2）和亩。</w:t>
            </w:r>
          </w:p>
          <w:p>
            <w:r>
              <w:rPr>
                <w:sz w:val="21"/>
              </w:rPr>
              <w:t>⑥调查更新范围：新兴县行政辖区范围内已发生变化的现状地类图斑。</w:t>
            </w:r>
          </w:p>
          <w:p>
            <w:r>
              <w:rPr>
                <w:sz w:val="21"/>
              </w:rPr>
              <w:t>⑦时段与时点：国土变更调查时段为2023年的1月1日至12月31日。国土变更调查的统一时点为2023年12月31日。</w:t>
            </w:r>
          </w:p>
          <w:p>
            <w:r>
              <w:rPr>
                <w:sz w:val="21"/>
              </w:rPr>
              <w:t>⑧最小调查图斑面积：</w:t>
            </w:r>
          </w:p>
          <w:p>
            <w:pPr>
              <w:ind w:firstLine="420"/>
            </w:pPr>
            <w:r>
              <w:rPr>
                <w:sz w:val="21"/>
              </w:rPr>
              <w:t>最小调查图斑面积应符合下列要求：</w:t>
            </w:r>
          </w:p>
          <w:p>
            <w:r>
              <w:rPr>
                <w:sz w:val="21"/>
              </w:rPr>
              <w:t>a.建设用地和设施农用地实地面积200m2。</w:t>
            </w:r>
          </w:p>
          <w:p>
            <w:r>
              <w:rPr>
                <w:sz w:val="21"/>
              </w:rPr>
              <w:t>b.农用地（不含设施农用地）实地面积400m2。</w:t>
            </w:r>
          </w:p>
          <w:p>
            <w:r>
              <w:rPr>
                <w:sz w:val="21"/>
              </w:rPr>
              <w:t>c.其他地类实地面积600m2，荒漠地区可适当减低精度，但不应低于1500m2。</w:t>
            </w:r>
          </w:p>
          <w:p>
            <w:r>
              <w:rPr>
                <w:sz w:val="21"/>
              </w:rPr>
              <w:t>d.对于有更高管理需求的地区，建设用地可适当提高调查精度。</w:t>
            </w:r>
          </w:p>
          <w:p>
            <w:r>
              <w:rPr>
                <w:b/>
                <w:sz w:val="21"/>
              </w:rPr>
              <w:t>3.2.2项目前期准备：</w:t>
            </w:r>
          </w:p>
          <w:p>
            <w:r>
              <w:rPr>
                <w:sz w:val="21"/>
              </w:rPr>
              <w:t>3.2.2.1软硬件准备：为了项目的顺利的实施，需要在项目开展前期做好各种软硬件准备，主要包括住宿与办公场地确定、办公环境搭建，计算机及软件系统、移动硬盘、路由器、打印机等办公设备，平板设备以及交通工具等调查所需仪器设备。</w:t>
            </w:r>
          </w:p>
          <w:p>
            <w:r>
              <w:rPr>
                <w:sz w:val="21"/>
              </w:rPr>
              <w:t>3.2.2.2人员安排与人员培训：确定项目作业技术专业队伍，明确项目的岗位职责与任务。项目作业技术专业队伍确定后，由项目负责人和技术负责人对项目组全部人员开展培训，主要包括变更调查文件培训、标准规范培训、技术培训、软件培训等方面的内容，使项目组人员对变更调查有充分的了解，以便开展项目工作。</w:t>
            </w:r>
          </w:p>
          <w:p>
            <w:r>
              <w:rPr>
                <w:sz w:val="21"/>
              </w:rPr>
              <w:t>3.2.2.3数据资料收集分析：收集分析2023年遥感监测成果及遥感监测影像、第三次全国国土调查数据库、三调统一时点更新数据库、2022年度变更调查数据库、2023年度新增建设用地计划、新增建设用地审批、设施农用地审批、临时用地审批、土地整治新增耕地、基本农田划定和调整、土地违法查处、农业结构调整、灾毁耕地、生态退耕等方面的资料，为下一步国土利用现状变化调查做好准备。</w:t>
            </w:r>
          </w:p>
          <w:p>
            <w:r>
              <w:rPr>
                <w:sz w:val="21"/>
              </w:rPr>
              <w:t>3.2.2.4制作国土变更调查外业底图：参照新兴县2023年度新增建设用地计划、新增建设用地审批、设施农用地审批、临时用地审批、土地整治新增耕地、基本农田划定与调整、国土违法查处等各类涉及国土利用现状变化的材料，在遥感监测成果和2022年度变更调查数据库等成果的基础上，制作国土变更调查外业底图。</w:t>
            </w:r>
          </w:p>
          <w:p>
            <w:r>
              <w:rPr>
                <w:b/>
                <w:sz w:val="21"/>
              </w:rPr>
              <w:t>3.2.3国土利用现状变更调查：</w:t>
            </w:r>
            <w:r>
              <w:rPr>
                <w:sz w:val="21"/>
              </w:rPr>
              <w:t>国土利用现状变更调查分为制定调查方案、制作调查外业底图、遥感监测图斑核实及建设用地变更调查、耕地现状变化调查、其他现状变化调查、地类信息专项调查标注等</w:t>
            </w:r>
            <w:r>
              <w:rPr>
                <w:sz w:val="21"/>
              </w:rPr>
              <w:t>6个部分进行（具体情况，以2023年国家、省、市下发方案为准）。</w:t>
            </w:r>
          </w:p>
          <w:p>
            <w:r>
              <w:rPr>
                <w:b/>
                <w:sz w:val="21"/>
              </w:rPr>
              <w:t>3.2.4更新县级国土调查数据库：</w:t>
            </w:r>
            <w:r>
              <w:rPr>
                <w:sz w:val="21"/>
              </w:rPr>
              <w:t>按照国土变更调查的有关标准和要求，对调查结果进行汇总整理。按照数据库更新有关标准和要求，采用增量更新的方式，更新县级国土调查数据库，并使用国家下发的质量检查软件对数据库进行质量检查，检查合格后报省级审核。</w:t>
            </w:r>
          </w:p>
          <w:p>
            <w:r>
              <w:rPr>
                <w:b/>
                <w:sz w:val="21"/>
              </w:rPr>
              <w:t>3.2.5县级国土变更调查成果汇总和上报：</w:t>
            </w:r>
            <w:r>
              <w:rPr>
                <w:sz w:val="21"/>
              </w:rPr>
              <w:t>利用数据库汇总功能，汇总县级国土利用变化情况，形成县级国土变更调查成果。经检查后，逐级报送。县级上报成果包括影像、图形、权属、文字报告等。</w:t>
            </w:r>
          </w:p>
          <w:p>
            <w:r>
              <w:rPr>
                <w:b/>
                <w:sz w:val="21"/>
              </w:rPr>
              <w:t>3.2.6配合开展国土利用现状变化调查成果核查：</w:t>
            </w:r>
          </w:p>
          <w:p>
            <w:r>
              <w:rPr>
                <w:sz w:val="21"/>
              </w:rPr>
              <w:t>3.2.6.1监测图斑内业核查。</w:t>
            </w:r>
          </w:p>
          <w:p>
            <w:r>
              <w:rPr>
                <w:sz w:val="21"/>
              </w:rPr>
              <w:t>3.2.6.2新增耕地及其他地类变化图斑内业核查。</w:t>
            </w:r>
          </w:p>
          <w:p>
            <w:r>
              <w:rPr>
                <w:sz w:val="21"/>
              </w:rPr>
              <w:t>3.2.6.3外业核查。</w:t>
            </w:r>
          </w:p>
          <w:p>
            <w:r>
              <w:rPr>
                <w:sz w:val="21"/>
              </w:rPr>
              <w:t>3.2.6.4核查结果反馈及整改。</w:t>
            </w:r>
          </w:p>
          <w:p>
            <w:r>
              <w:rPr>
                <w:b/>
                <w:sz w:val="21"/>
              </w:rPr>
              <w:t>3.2.7数据汇总统计与分析：</w:t>
            </w:r>
            <w:r>
              <w:rPr>
                <w:sz w:val="21"/>
              </w:rPr>
              <w:t>以新兴县为单位开展数据汇总统计与分析工作，按照国土变更调查数据汇总的要求，汇总年度内每块国土的利用变化情况，并按照地（市）级、省级依次统计汇总方式，逐级上报，形成年度各级国土利用变化汇总结果。结合本地区的年度国土管理各项工作情况，开展年度国土利用变化数据分析，编写新兴县国土利用变化情况分析报告。</w:t>
            </w:r>
          </w:p>
          <w:p>
            <w:r>
              <w:rPr>
                <w:b/>
                <w:sz w:val="21"/>
              </w:rPr>
              <w:t>3.3新兴县2023年度卫片执法技术服务</w:t>
            </w:r>
          </w:p>
          <w:p>
            <w:r>
              <w:rPr>
                <w:b/>
                <w:sz w:val="21"/>
              </w:rPr>
              <w:t>3.3.1工作对象：</w:t>
            </w:r>
            <w:r>
              <w:rPr>
                <w:sz w:val="21"/>
              </w:rPr>
              <w:t>2023年卫片执法工作对象包括自然资源部下发的2023年月度卫片执法图斑，以及利用2023年度国土变更调查和相关监测成果形成的年度卫片执法补充图斑。</w:t>
            </w:r>
          </w:p>
          <w:p>
            <w:r>
              <w:rPr>
                <w:b/>
                <w:sz w:val="21"/>
              </w:rPr>
              <w:t>3.3.2工作要求：</w:t>
            </w:r>
          </w:p>
          <w:p>
            <w:pPr>
              <w:ind w:firstLine="420"/>
            </w:pPr>
            <w:r>
              <w:rPr>
                <w:sz w:val="21"/>
              </w:rPr>
              <w:t>卫片执法工作贯穿</w:t>
            </w:r>
            <w:r>
              <w:rPr>
                <w:sz w:val="21"/>
              </w:rPr>
              <w:t>“月度+年度”常态化机制。</w:t>
            </w:r>
          </w:p>
          <w:p>
            <w:r>
              <w:rPr>
                <w:sz w:val="21"/>
              </w:rPr>
              <w:t>3.3.2.1 2023年度月度下发卫片执法图斑核查上报：</w:t>
            </w:r>
          </w:p>
          <w:p>
            <w:r>
              <w:rPr>
                <w:sz w:val="21"/>
              </w:rPr>
              <w:t>①实地举证和资料收集：国家月度下发卫片执法图斑，在7个工作日内收集该图斑相关用地资料（包括土地利用现状数据、土地利用规划数据、用地批文、不动产登记数据等），实地核查土地用地情况，并拍照举证。</w:t>
            </w:r>
          </w:p>
          <w:p>
            <w:r>
              <w:rPr>
                <w:sz w:val="21"/>
              </w:rPr>
              <w:t>②数据分析和录入：根据收集的材料和实地举证结果，对土地利用和规划用地情况进行分析，判别用地类型。信息资料审核无误后，在APP中，完成该图斑信息填报。</w:t>
            </w:r>
          </w:p>
          <w:p>
            <w:r>
              <w:rPr>
                <w:sz w:val="21"/>
              </w:rPr>
              <w:t>3.3.2.2 2023年度违法用地图斑整改上报：</w:t>
            </w:r>
          </w:p>
          <w:p>
            <w:r>
              <w:rPr>
                <w:sz w:val="21"/>
              </w:rPr>
              <w:t>①整改材料整理：对违法违规用地行为依法依规予以整改查处的相关材料；对有关违法责任主体，及时移交、移送公安机关和纪检监察部门处理的相关材料。</w:t>
            </w:r>
          </w:p>
          <w:p>
            <w:r>
              <w:rPr>
                <w:sz w:val="21"/>
              </w:rPr>
              <w:t>②数据分析和录入：根据收集的上报材料和实地核实结果，对整改情况进行数据分析，根据自然资源部及省厅要求，逐宗录入用地单位、土地坐落、图斑面积（实际用地面积）、各地类面积、基本农田面积、符合规划面积、用地单位性质、四至、立案情况、查处情况、整改情况、落实情况等相关信息，然后进行上报。</w:t>
            </w:r>
          </w:p>
          <w:p>
            <w:r>
              <w:rPr>
                <w:sz w:val="21"/>
              </w:rPr>
              <w:t>3.3.2.3档案整理：按要求逐个地块建立卷宗，卷宗资料整理规范齐全，归档准确；判定为合法用地的新增建设用地，各项审批材料合法、齐备；违法用地档案中有处罚（处理）法律文书及有关图件；涉及国家和省重点工程的用地档案有相应的立项文件；涉及使用林地项目办理了使用林地等相关审批手续等。</w:t>
            </w:r>
          </w:p>
          <w:p>
            <w:r>
              <w:rPr>
                <w:b/>
                <w:sz w:val="21"/>
              </w:rPr>
              <w:t>3.3.3技术指标：</w:t>
            </w:r>
          </w:p>
          <w:p>
            <w:pPr>
              <w:ind w:firstLine="420"/>
            </w:pPr>
            <w:r>
              <w:rPr>
                <w:sz w:val="21"/>
              </w:rPr>
              <w:t>提交的数据成果应符合以下要求：</w:t>
            </w:r>
          </w:p>
          <w:p>
            <w:r>
              <w:rPr>
                <w:sz w:val="21"/>
              </w:rPr>
              <w:t>3.3.3.1平面坐标系统：大地基准：采用“2000国家大地坐标系”。</w:t>
            </w:r>
          </w:p>
          <w:p>
            <w:r>
              <w:rPr>
                <w:sz w:val="21"/>
              </w:rPr>
              <w:t>3.3.3.2高程系统：高程基准：采用“1985国家高程基准”。</w:t>
            </w:r>
          </w:p>
          <w:p>
            <w:r>
              <w:rPr>
                <w:sz w:val="21"/>
              </w:rPr>
              <w:t>3.3.3.3投影方式：</w:t>
            </w:r>
          </w:p>
          <w:p>
            <w:r>
              <w:rPr>
                <w:sz w:val="21"/>
              </w:rPr>
              <w:t>①投影方式：采用高斯-克吕格投影。</w:t>
            </w:r>
          </w:p>
          <w:p>
            <w:r>
              <w:rPr>
                <w:sz w:val="21"/>
              </w:rPr>
              <w:t>②1：2000、1：5000、1：10000比例尺标准分幅图或数据按3°分带。</w:t>
            </w:r>
          </w:p>
          <w:p>
            <w:r>
              <w:rPr>
                <w:sz w:val="21"/>
              </w:rPr>
              <w:t>3.3.3.4影像地面分辨率：原始影像分辨率优于0.2m，正射影像图成果分辨率0.2m。</w:t>
            </w:r>
          </w:p>
          <w:p>
            <w:r>
              <w:rPr>
                <w:sz w:val="21"/>
              </w:rPr>
              <w:t>3.3.3.5计量单位：长度单位采用米（m）；面积计算单位采用平方米（m²）。</w:t>
            </w:r>
          </w:p>
          <w:p>
            <w:r>
              <w:rPr>
                <w:sz w:val="21"/>
              </w:rPr>
              <w:t>3.3.3.6成果格式要求：</w:t>
            </w:r>
          </w:p>
          <w:p>
            <w:r>
              <w:rPr>
                <w:sz w:val="21"/>
              </w:rPr>
              <w:t>①矢量数据成果：Shape格式；</w:t>
            </w:r>
          </w:p>
          <w:p>
            <w:r>
              <w:rPr>
                <w:sz w:val="21"/>
              </w:rPr>
              <w:t>②文档成果：PDF、Excel格式。</w:t>
            </w:r>
          </w:p>
          <w:p>
            <w:r>
              <w:rPr>
                <w:b/>
                <w:sz w:val="21"/>
              </w:rPr>
              <w:t>3.3.4工作流程：</w:t>
            </w:r>
          </w:p>
          <w:p>
            <w:r>
              <w:rPr>
                <w:sz w:val="21"/>
              </w:rPr>
              <w:t>3.3.4.1前期准备阶段：</w:t>
            </w:r>
          </w:p>
          <w:p>
            <w:r>
              <w:rPr>
                <w:sz w:val="21"/>
              </w:rPr>
              <w:t>①技术文件编写：按照省、市政府的安排部署，结合新兴县实际制定具体的卫片检查工作方案及技术方案。</w:t>
            </w:r>
          </w:p>
          <w:p>
            <w:r>
              <w:rPr>
                <w:sz w:val="21"/>
              </w:rPr>
              <w:t>②资料收集与设备准备：准备用于判读卫片的设备和软件、外业核查交通工具及测绘仪器。对领取回来的卫片数据进行分析处理后，开始收集相应的卫片图斑资料，包括对各县区工作情况调研、图斑分布情况、交通情况调查、分析收集土地利用现状数据库、动态巡查台账已有资料情况等工作。</w:t>
            </w:r>
          </w:p>
          <w:p>
            <w:r>
              <w:rPr>
                <w:sz w:val="21"/>
              </w:rPr>
              <w:t>3.3.4.2卫片执法中期填报及审核数据阶段：</w:t>
            </w:r>
          </w:p>
          <w:p>
            <w:r>
              <w:rPr>
                <w:sz w:val="21"/>
              </w:rPr>
              <w:t>①外业图斑调查：通过影像图与《手机终端》相结合，会同技术人员及政府工作人员通过询问当地群众、拍照等方式逐宗核实每个图斑的用地性质、土地坐落、用地单位、建设情况、用地现状、土地用途、建设面积等相关信息并按要求拍摄照片。</w:t>
            </w:r>
          </w:p>
          <w:p>
            <w:r>
              <w:rPr>
                <w:sz w:val="21"/>
              </w:rPr>
              <w:t>②内业数据处理：根据调查基本信息及拍摄实地照片，结合影像图审核判定图斑的用地性质，对执法图斑资料收集分析、整理、生成DOM成果、进行信息提取、图件编辑；对外业采集数据核对和汇总，图斑分割等技术处理；对各类型用地做好资料补充工作。</w:t>
            </w:r>
          </w:p>
          <w:p>
            <w:r>
              <w:rPr>
                <w:sz w:val="21"/>
              </w:rPr>
              <w:t>③质量检查、成果上传：采用每宗逐一检查的质量管理，检查图斑性质与照片实质性、检查每类图斑资料必要的证明或报告书的完整性、检查统一编号内的违法用地出发文件是否有处罚遗漏的单位或人、核对下发图斑数据的基本信息和上报情况是否符合要求。对执法图斑成果举证相片、佐证资料核对并上传系统。</w:t>
            </w:r>
          </w:p>
          <w:p>
            <w:r>
              <w:rPr>
                <w:sz w:val="21"/>
              </w:rPr>
              <w:t>④内业审核：根据广东省自然资源厅要求对各街镇上传执法图斑进行内业全面检查、审核，对依据不充分、判别错误的数据进行驳回，地方修改后再次审核。</w:t>
            </w:r>
          </w:p>
          <w:p>
            <w:r>
              <w:rPr>
                <w:sz w:val="21"/>
              </w:rPr>
              <w:t>⑤外业抽查：按抽样比例均匀抽取图斑实地进行外业检查，工作内容同外业图斑调查。实地检查卫片执法图斑性质与照片实际性是否相符，及重点检查违法占用耕地（含永久基本农田）、自然保护地面积5亩以上的重大图斑。</w:t>
            </w:r>
          </w:p>
          <w:p>
            <w:r>
              <w:rPr>
                <w:sz w:val="21"/>
              </w:rPr>
              <w:t>⑥编写检查报告：对卫片执法图斑进行数据分析、整理、检查和报告编写。</w:t>
            </w:r>
          </w:p>
          <w:p>
            <w:r>
              <w:rPr>
                <w:sz w:val="21"/>
              </w:rPr>
              <w:t>3.3.4.3卫片执法后期成果汇总阶段：</w:t>
            </w:r>
          </w:p>
          <w:p>
            <w:r>
              <w:rPr>
                <w:sz w:val="21"/>
              </w:rPr>
              <w:t>①数据汇总上报：根据省相关文件要求统计汇总相关表格上报，包括明细表、整改表、汇总表等成果表格。</w:t>
            </w:r>
          </w:p>
          <w:p>
            <w:r>
              <w:rPr>
                <w:sz w:val="21"/>
              </w:rPr>
              <w:t>②成果现场审核：卫片执法图斑汇总上报完成后，自然资源部、省自然资源厅将派员对新兴县卫片执法工作进行督导审核验收，重点审核上报数据的真实性、准确性，违法案件的查处和整改落实情况。同时，卫片执法结果经市、省、国家自然资源部门数据审核组审核并反馈意见后，成交供应商要按照审核意见进行修改举证工作。</w:t>
            </w:r>
          </w:p>
          <w:p>
            <w:r>
              <w:rPr>
                <w:sz w:val="21"/>
              </w:rPr>
              <w:t>③提交成果报告：在上报年度卫片执法补充图斑数据的同时，全面复核当年各月度卫片填报数据，更新违法行为查处整改最新进展情况，汇总形成2023年度土地矿产卫片执法工作报告。</w:t>
            </w:r>
          </w:p>
          <w:p>
            <w:r>
              <w:rPr>
                <w:b/>
                <w:sz w:val="21"/>
              </w:rPr>
              <w:t>3.3.5工作成果：</w:t>
            </w:r>
          </w:p>
          <w:p>
            <w:r>
              <w:rPr>
                <w:sz w:val="21"/>
              </w:rPr>
              <w:t>3.3.5.1电子成果：</w:t>
            </w:r>
          </w:p>
          <w:p>
            <w:r>
              <w:rPr>
                <w:sz w:val="21"/>
              </w:rPr>
              <w:t>①日常巡查轨迹；</w:t>
            </w:r>
          </w:p>
          <w:p>
            <w:r>
              <w:rPr>
                <w:sz w:val="21"/>
              </w:rPr>
              <w:t>②新增建设用地矢量；</w:t>
            </w:r>
          </w:p>
          <w:p>
            <w:r>
              <w:rPr>
                <w:sz w:val="21"/>
              </w:rPr>
              <w:t>③违法用地图斑统计分析成果表；</w:t>
            </w:r>
          </w:p>
          <w:p>
            <w:r>
              <w:rPr>
                <w:sz w:val="21"/>
              </w:rPr>
              <w:t>④系统app实地举证照片。</w:t>
            </w:r>
          </w:p>
          <w:p>
            <w:r>
              <w:rPr>
                <w:sz w:val="21"/>
              </w:rPr>
              <w:t>3.3.5.2纸质成果：</w:t>
            </w:r>
          </w:p>
          <w:p>
            <w:r>
              <w:rPr>
                <w:sz w:val="21"/>
              </w:rPr>
              <w:t>①工作方案；</w:t>
            </w:r>
          </w:p>
          <w:p>
            <w:r>
              <w:rPr>
                <w:sz w:val="21"/>
              </w:rPr>
              <w:t>②工作总结报告。</w:t>
            </w:r>
          </w:p>
          <w:p>
            <w:r>
              <w:rPr>
                <w:b/>
                <w:sz w:val="21"/>
              </w:rPr>
              <w:t>3.4新兴县2023年度耕地卫片监督</w:t>
            </w:r>
          </w:p>
          <w:p>
            <w:pPr>
              <w:ind w:firstLine="420"/>
            </w:pPr>
            <w:r>
              <w:rPr>
                <w:sz w:val="21"/>
              </w:rPr>
              <w:t>新兴县收到部级耕地疑似流出图斑后，需要及时组织现场核实，逐地块确认实际是否发生地块变化。将核实结果于图斑下发后的</w:t>
            </w:r>
            <w:r>
              <w:rPr>
                <w:sz w:val="21"/>
              </w:rPr>
              <w:t>20个工作日内，通过“耕地卫片监督与进出平衡监管系统”和“国土调查云”耕地进出平衡外业监管任务模块反馈。耕地卫片监督要与土地卫片执法做好衔接，涉及的卫片执法图斑，按照执法相关工作要求处理。</w:t>
            </w:r>
          </w:p>
          <w:p>
            <w:r>
              <w:rPr>
                <w:b/>
                <w:sz w:val="21"/>
              </w:rPr>
              <w:t>3.4.1图斑分类处理：</w:t>
            </w:r>
            <w:r>
              <w:rPr>
                <w:sz w:val="21"/>
              </w:rPr>
              <w:t>对图斑进行处理，将不同的图斑进行分类处理，便于后期对不同类型的图斑进行分类处置，主要类型为耕地流出到林地、园地、草地、建设用地、设施农用地及其他类型。</w:t>
            </w:r>
          </w:p>
          <w:p>
            <w:r>
              <w:rPr>
                <w:b/>
                <w:sz w:val="21"/>
              </w:rPr>
              <w:t>3.4.2图斑叠加：</w:t>
            </w:r>
            <w:r>
              <w:rPr>
                <w:sz w:val="21"/>
              </w:rPr>
              <w:t>图斑分类后，与行政界线、土地利用现状、基本农田、用地报批、规划管制区等矢量数据进行叠加对比。</w:t>
            </w:r>
          </w:p>
          <w:p>
            <w:r>
              <w:rPr>
                <w:b/>
                <w:sz w:val="21"/>
              </w:rPr>
              <w:t>3.4.3图斑分析：</w:t>
            </w:r>
            <w:r>
              <w:rPr>
                <w:sz w:val="21"/>
              </w:rPr>
              <w:t>基于叠加分析情况，对分析结果进行初步判定。通过内业初步分析的方式，初步确定出耕地卫片监督图斑流出类型。</w:t>
            </w:r>
          </w:p>
          <w:p>
            <w:r>
              <w:rPr>
                <w:b/>
                <w:sz w:val="21"/>
              </w:rPr>
              <w:t>3.4.4外业核查举证：</w:t>
            </w:r>
            <w:r>
              <w:rPr>
                <w:sz w:val="21"/>
              </w:rPr>
              <w:t>通过国土调查云外业核查软件进行实地举证，同时做好图斑现场情况备注说明，填写好相关属性信息。</w:t>
            </w:r>
          </w:p>
          <w:p>
            <w:r>
              <w:rPr>
                <w:b/>
                <w:sz w:val="21"/>
              </w:rPr>
              <w:t>3.4.5内业审核上报：</w:t>
            </w:r>
            <w:r>
              <w:rPr>
                <w:sz w:val="21"/>
              </w:rPr>
              <w:t>在国土调查云平台逐图斑审核外业情况说明、问题类型是否正确，举证照片是否合规，属性填写、现状说明等内容是否准确，确认填写无误后进行上报。耕地卫片监督重点流出包括以下内容：</w:t>
            </w:r>
          </w:p>
          <w:p>
            <w:r>
              <w:rPr>
                <w:sz w:val="21"/>
              </w:rPr>
              <w:t>①在耕地上绿化造林情况；</w:t>
            </w:r>
          </w:p>
          <w:p>
            <w:r>
              <w:rPr>
                <w:sz w:val="21"/>
              </w:rPr>
              <w:t>②在耕地上建设绿色通道情况，含铁路、公路、河渠两侧和水库周边等植树情况；</w:t>
            </w:r>
          </w:p>
          <w:p>
            <w:r>
              <w:rPr>
                <w:sz w:val="21"/>
              </w:rPr>
              <w:t>③在耕地上种植果树、茶树，兴建坑塘水面等情况；</w:t>
            </w:r>
          </w:p>
          <w:p>
            <w:r>
              <w:rPr>
                <w:sz w:val="21"/>
              </w:rPr>
              <w:t>④在耕地上种植人工草皮情况；</w:t>
            </w:r>
          </w:p>
          <w:p>
            <w:r>
              <w:rPr>
                <w:sz w:val="21"/>
              </w:rPr>
              <w:t>⑤在耕地上挖湖造景情况，含人工湖、湖库塘拓宽等情况；</w:t>
            </w:r>
          </w:p>
          <w:p>
            <w:r>
              <w:rPr>
                <w:sz w:val="21"/>
              </w:rPr>
              <w:t>⑥在耕地上修建乡村道路，建设种植设施、畜禽养殖设施、水产养殖设施等情况；</w:t>
            </w:r>
          </w:p>
          <w:p>
            <w:r>
              <w:rPr>
                <w:sz w:val="21"/>
              </w:rPr>
              <w:t>⑦年度国土变更调查工作中监测发现但未纳入土地卫片执法的其他耕地变化。</w:t>
            </w:r>
          </w:p>
          <w:p/>
          <w:p/>
        </w:tc>
      </w:tr>
      <w:tr>
        <w:tc>
          <w:tcPr>
            <w:tcW w:type="dxa" w:w="2076"/>
          </w:tcPr>
          <w:p>
            <w:r>
              <w:rPr/>
              <w:t>★</w:t>
            </w:r>
          </w:p>
        </w:tc>
        <w:tc>
          <w:tcPr>
            <w:tcW w:type="dxa" w:w="415"/>
          </w:tcPr>
          <w:p>
            <w:r>
              <w:rPr/>
              <w:t>4</w:t>
            </w:r>
          </w:p>
        </w:tc>
        <w:tc>
          <w:tcPr>
            <w:tcW w:type="dxa" w:w="5814"/>
          </w:tcPr>
          <w:p>
            <w:r>
              <w:rPr>
                <w:b/>
                <w:sz w:val="22"/>
              </w:rPr>
              <w:t>（</w:t>
            </w:r>
            <w:r>
              <w:rPr>
                <w:b/>
                <w:sz w:val="22"/>
              </w:rPr>
              <w:t>4）成果要求</w:t>
            </w:r>
          </w:p>
          <w:p>
            <w:r>
              <w:rPr>
                <w:sz w:val="21"/>
              </w:rPr>
              <w:t>4.1成交供应商应按工作内容及要求、省市相关规格要求提供工作成果，提交的纸质成果文件份数和规格须符合采购人实际使用要求，并提交相应的电子数据。</w:t>
            </w:r>
          </w:p>
          <w:p>
            <w:r>
              <w:rPr>
                <w:sz w:val="21"/>
              </w:rPr>
              <w:t>4.2成交供应商提交的成果有下列情形之一的，采购人有权要求成交供应商修正至符合项目要求，若成交供应商无法整改到位，采购人有权终止合同：</w:t>
            </w:r>
          </w:p>
          <w:p>
            <w:r>
              <w:rPr>
                <w:sz w:val="21"/>
              </w:rPr>
              <w:t>4.2.1提交的成果不符合本项目规定；</w:t>
            </w:r>
          </w:p>
          <w:p>
            <w:r>
              <w:rPr>
                <w:sz w:val="21"/>
              </w:rPr>
              <w:t>4.2.2提交的成果内容严重偏离采购人下达的任务要求的；</w:t>
            </w:r>
          </w:p>
          <w:p>
            <w:r>
              <w:rPr>
                <w:sz w:val="21"/>
              </w:rPr>
              <w:t>4.2.3提交的成果图纸和文字辨认不清、内容不全或粗制滥造的；</w:t>
            </w:r>
          </w:p>
          <w:p>
            <w:r>
              <w:rPr>
                <w:sz w:val="21"/>
              </w:rPr>
              <w:t>4.2.4未经采购人同意，逾期编制成果的。</w:t>
            </w:r>
          </w:p>
          <w:p>
            <w:r>
              <w:rPr>
                <w:sz w:val="21"/>
              </w:rPr>
              <w:t>4.3所有成果的文字说明和文字标注均须采用中文版式，文字和图件必须做到清晰完整、尺寸齐全准确，同类图件规格应尽量统一。</w:t>
            </w:r>
          </w:p>
        </w:tc>
      </w:tr>
      <w:tr>
        <w:tc>
          <w:tcPr>
            <w:tcW w:type="dxa" w:w="2076"/>
          </w:tcPr>
          <w:p/>
        </w:tc>
        <w:tc>
          <w:tcPr>
            <w:tcW w:type="dxa" w:w="415"/>
          </w:tcPr>
          <w:p>
            <w:r>
              <w:rPr/>
              <w:t>5</w:t>
            </w:r>
          </w:p>
        </w:tc>
        <w:tc>
          <w:tcPr>
            <w:tcW w:type="dxa" w:w="5814"/>
          </w:tcPr>
          <w:p>
            <w:r>
              <w:rPr>
                <w:b/>
                <w:sz w:val="22"/>
              </w:rPr>
              <w:t>（</w:t>
            </w:r>
            <w:r>
              <w:rPr>
                <w:b/>
                <w:sz w:val="22"/>
              </w:rPr>
              <w:t>5）人员管理要求</w:t>
            </w:r>
          </w:p>
          <w:p>
            <w:r>
              <w:rPr>
                <w:sz w:val="21"/>
              </w:rPr>
              <w:t>5.1为使项目按质、按量、按时及有序实施，本项目必须有一个完善且固定的项目实施小组，配备项目负责人和技术负责人。</w:t>
            </w:r>
          </w:p>
          <w:p>
            <w:r>
              <w:rPr>
                <w:sz w:val="21"/>
              </w:rPr>
              <w:t>5.2在项目实施期间，成交供应商如因工作安排或其它原因，需要更换项目组人员时，应事前向采购人提出书面申请，未经采购人同意，不得更换人员，否则采购人有权终止合同，成交供应商须承担由此给采购人造成的全部损失。</w:t>
            </w:r>
          </w:p>
          <w:p>
            <w:r>
              <w:rPr>
                <w:sz w:val="21"/>
              </w:rPr>
              <w:t>5.3采购人有权以书面形式要求成交供应商更换不能按规定履行合同的人员。即使是采购人要求或同意更换的人员，其代替人员的资质仍应得到采购人的认可，且其资质和经验均不得低于被更换人员，由此而产生的费用由成交供应商承担。</w:t>
            </w:r>
          </w:p>
          <w:p>
            <w:r>
              <w:rPr>
                <w:sz w:val="21"/>
              </w:rPr>
              <w:t>5.4成交供应商须对其雇员的人身安全负全部责任，做好安全教育培训工作，认真落实安全检查制度，切实提高安全意识，做到将安全教育贯穿于项目实施的全过程。</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1.采购代理机构：本项目是指云浮市中策招标咨询服务有限公司，负责整个采购活动的组织，依法负责编制和发布磋商文件，对磋商文件拥有最终的解释权，不以任何身份出任磋商小组成员。</w:t>
      </w:r>
    </w:p>
    <w:p>
      <w:pPr>
        <w:ind w:firstLine="480"/>
      </w:pPr>
      <w:r>
        <w:rPr/>
        <w:t>2.采购人：本项目是指</w:t>
      </w:r>
      <w:r>
        <w:rPr/>
        <w:t>新兴县自然资源局</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现场电子开标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从提交投标（响应）文件的截止之日起60日历天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p>
          <w:p>
            <w:r>
              <w:rPr/>
              <w:t>采购机构代理服务收费标准：收费标准参照国家计委颁布的（计价格[2002]1980号）“服务招标”收费标准执行，收费金额按差额定率累进法计算。</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pPr>
              <w:ind w:firstLine="480"/>
            </w:pPr>
            <w:r>
              <w:rPr>
                <w:b/>
              </w:rPr>
              <w:t>一、电子响应文件（必须提供）：</w:t>
            </w:r>
          </w:p>
          <w:p>
            <w:pPr>
              <w:ind w:firstLine="480"/>
            </w:pPr>
            <w:r>
              <w:rPr/>
              <w:t>（1）加密的电子响应文件 1 份（需在递交响应文件截止时间前成功上传至云平台项目采购系统）。</w:t>
            </w:r>
          </w:p>
          <w:p>
            <w:pPr>
              <w:ind w:firstLine="480"/>
            </w:pPr>
            <w:r>
              <w:rPr/>
              <w:t>（2）非加密电子版文件 U 盘(或光盘)</w:t>
            </w:r>
            <w:r>
              <w:rPr/>
              <w:t>1</w:t>
            </w:r>
            <w:r>
              <w:rPr/>
              <w:t>份，加密的电子响应文件与非加密的电子响应文件必须完全一致。</w:t>
            </w:r>
          </w:p>
          <w:p>
            <w:pPr>
              <w:ind w:firstLine="480"/>
            </w:pPr>
            <w:r>
              <w:rPr>
                <w:b/>
              </w:rPr>
              <w:t>非加密电子版响应文件使用情形:</w:t>
            </w:r>
            <w:r>
              <w:rPr/>
              <w:t>当无法使用 CA 证书在云平台项目采购系统进行电子响应文件开标解密时，供应商须在代理机构指引下启用非加密电子版响应文件。</w:t>
            </w:r>
          </w:p>
          <w:p>
            <w:pPr>
              <w:ind w:firstLine="480"/>
            </w:pPr>
            <w:r>
              <w:rPr>
                <w:b/>
              </w:rPr>
              <w:t>二、纸质投标文件（代理机构自行选择）：</w:t>
            </w:r>
            <w:r>
              <w:rPr/>
              <w:t>（3）纸质投标文件正本1份，纸质投标文件副本2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jc w:val="center"/>
            </w:pPr>
            <w:r>
              <w:rPr/>
              <w:t>18</w:t>
            </w:r>
          </w:p>
        </w:tc>
        <w:tc>
          <w:tcPr>
            <w:tcW w:type="dxa" w:w="2252"/>
          </w:tcPr>
          <w:p>
            <w:r>
              <w:rPr/>
              <w:t>其他</w:t>
            </w:r>
          </w:p>
        </w:tc>
        <w:tc>
          <w:tcPr>
            <w:tcW w:type="dxa" w:w="5004"/>
          </w:tcPr>
          <w:p>
            <w:pPr>
              <w:jc w:val="left"/>
            </w:pPr>
            <w:r>
              <w:rPr/>
              <w:t>纸质响应文件递交要求，1、纸质响应文件递交截止时间：2023年09月11日上午09：00（注：2023年09月11日上午08：30开始受理纸质响应文件）（北京时间）。2、纸质响应文件送达地点：新兴县新城镇新洲大道南69号（城北商住区东区）第二层201室开标室。3、所有纸质响应文件必须装入密封的信封或封套。纸质响应文件的正本、副本应分别封装，并在每一信封或包装的封面上注明：采购项目名称、采购项目编号、供应商名称、联系人、联系电话、“于××年××月××日××时××分（纸质响应文件递交截止时间）之前不准启封”字样、正本/副本等信息。</w:t>
            </w:r>
          </w:p>
        </w:tc>
      </w:tr>
      <w:tr>
        <w:tc>
          <w:tcPr>
            <w:tcW w:type="dxa" w:w="1051"/>
          </w:tcPr>
          <w:p>
            <w:pPr>
              <w:jc w:val="center"/>
            </w:pPr>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云浮市中策招标咨询服务有限公司</w:t>
      </w:r>
      <w:r>
        <w:rPr/>
        <w:t>代收。具体操作要求详见</w:t>
      </w:r>
      <w:r>
        <w:rPr/>
        <w:t>云浮市中策招标咨询服务有限公司</w:t>
      </w:r>
      <w:r>
        <w:rPr/>
        <w:t>有关指引，递交事宜请自行咨询</w:t>
      </w:r>
      <w:r>
        <w:rPr/>
        <w:t>云浮市中策招标咨询服务有限公司</w:t>
      </w:r>
      <w:r>
        <w:rPr/>
        <w:t>；请各供应商在响应文件递交截止时间前按须知前附表规定的金额递交至</w:t>
      </w:r>
      <w:r>
        <w:rPr/>
        <w:t>云浮市中策招标咨询服务有限公司</w:t>
      </w:r>
      <w:r>
        <w:rPr/>
        <w:t>，到账情况以开启时</w:t>
      </w:r>
      <w:r>
        <w:rPr/>
        <w:t>云浮市中策招标咨询服务有限公司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云浮市公共资源交易服务平台（https://jyzx.yunfu.gov.cn/portal/jsgcjy）、云浮市中策招标咨询服务有限公司（www.yfzczb.com）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云浮市公共资源交易服务平台（https://jyzx.yunfu.gov.cn/portal/jsgcjy）、云浮市中策招标咨询服务有限公司（www.yfzczb.com）</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简小姐</w:t>
      </w:r>
    </w:p>
    <w:p>
      <w:pPr>
        <w:ind w:firstLine="480"/>
      </w:pPr>
      <w:r>
        <w:rPr/>
        <w:t>电话：</w:t>
      </w:r>
      <w:r>
        <w:rPr/>
        <w:t>0766-2922133</w:t>
      </w:r>
    </w:p>
    <w:p>
      <w:pPr>
        <w:ind w:firstLine="480"/>
      </w:pPr>
      <w:r>
        <w:rPr/>
        <w:t>传真：</w:t>
      </w:r>
      <w:r>
        <w:rPr/>
        <w:t>/</w:t>
      </w:r>
    </w:p>
    <w:p>
      <w:pPr>
        <w:ind w:firstLine="480"/>
      </w:pPr>
      <w:r>
        <w:rPr/>
        <w:t>邮箱：</w:t>
      </w:r>
      <w:r>
        <w:rPr/>
        <w:t>yfzczb@163.com</w:t>
      </w:r>
    </w:p>
    <w:p>
      <w:pPr>
        <w:ind w:firstLine="480"/>
      </w:pPr>
      <w:r>
        <w:rPr/>
        <w:t>地址：</w:t>
      </w:r>
      <w:r>
        <w:rPr/>
        <w:t>新兴县新城镇新洲大道南69号（城北商住区东区）第二层201室</w:t>
      </w:r>
    </w:p>
    <w:p>
      <w:pPr>
        <w:ind w:firstLine="480"/>
      </w:pPr>
      <w:r>
        <w:rPr/>
        <w:t>邮编：</w:t>
      </w:r>
      <w:r>
        <w:rPr/>
        <w:t>527400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政府采购监督管理机构名称：云浮市新兴县财政局政府采购管理股</w:t>
      </w:r>
    </w:p>
    <w:p>
      <w:r>
        <w:rPr/>
        <w:t>地  址：云浮市新兴县新城镇较场路33号6楼</w:t>
      </w:r>
    </w:p>
    <w:p>
      <w:r>
        <w:rPr/>
        <w:t>电  话：0766-2882607</w:t>
      </w:r>
    </w:p>
    <w:p>
      <w:r>
        <w:rPr/>
        <w:t>邮  编：527400</w:t>
      </w:r>
    </w:p>
    <w:p>
      <w:r>
        <w:rPr/>
        <w:t>传  真：0766-2882607</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新兴县2023年度自然资源常态化监测、2023年度全国国土变更调查工作、2023年度卫片执法技术服务和2023年度耕地卫片监督项目)：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云浮市中策招标咨询服务有限公司</w:t>
      </w:r>
      <w:r>
        <w:rPr/>
        <w:t>统一对外发布。</w:t>
      </w:r>
    </w:p>
    <w:p>
      <w:pPr>
        <w:ind w:firstLine="480"/>
      </w:pPr>
      <w:r>
        <w:rPr/>
        <w:t>（2）对</w:t>
      </w:r>
      <w:r>
        <w:rPr/>
        <w:t>云浮市中策招标咨询服务有限公司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采购包1（新兴县2023年度自然资源常态化监测、2023年度全国国土变更调查工作、2023年度卫片执法技术服务和2023年度耕地卫片监督项目）：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表一资格性审查表：</w:t>
      </w:r>
    </w:p>
    <w:p>
      <w:pPr>
        <w:ind w:firstLine="480"/>
      </w:pPr>
    </w:p>
    <w:p/>
    <w:p>
      <w:r>
        <w:rPr/>
        <w:t>采购包1（新兴县2023年度自然资源常态化监测、2023年度全国国土变更调查工作、2023年度卫片执法技术服务和2023年度耕地卫片监督项目）：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提供法人或者其他组织的营业执照等证明文件复印件。</w:t>
            </w:r>
          </w:p>
        </w:tc>
      </w:tr>
      <w:tr>
        <w:tc>
          <w:tcPr>
            <w:tcW w:type="dxa" w:w="890"/>
          </w:tcPr>
          <w:p>
            <w:r>
              <w:rPr/>
              <w:t>2</w:t>
            </w:r>
          </w:p>
        </w:tc>
        <w:tc>
          <w:tcPr>
            <w:tcW w:type="dxa" w:w="3178"/>
          </w:tcPr>
          <w:p>
            <w:r>
              <w:rPr/>
              <w:t>具有良好的商业信誉和健全的财务会计制度</w:t>
            </w:r>
          </w:p>
        </w:tc>
        <w:tc>
          <w:tcPr>
            <w:tcW w:type="dxa" w:w="4238"/>
          </w:tcPr>
          <w:p>
            <w:r>
              <w:rPr/>
              <w:t>已对接“粤省事”“粤商通”“粤信签”等系统的，可提供系统的相关查询凭证或截图；或在响应文件中提供该项要求的承诺函（注：供应商的承诺函随中标、成交公告一并公示，对发现供应商承诺不实的，属于提供虚假材料谋取中标、成交，依照《中华人民共和国政府采购法》等国家有关规定追究法律责任）。</w:t>
            </w:r>
          </w:p>
        </w:tc>
      </w:tr>
      <w:tr>
        <w:tc>
          <w:tcPr>
            <w:tcW w:type="dxa" w:w="890"/>
          </w:tcPr>
          <w:p>
            <w:r>
              <w:rPr/>
              <w:t>3</w:t>
            </w:r>
          </w:p>
        </w:tc>
        <w:tc>
          <w:tcPr>
            <w:tcW w:type="dxa" w:w="3178"/>
          </w:tcPr>
          <w:p>
            <w:r>
              <w:rPr/>
              <w:t>履行合同所必需的设备和专业技术能力</w:t>
            </w:r>
          </w:p>
        </w:tc>
        <w:tc>
          <w:tcPr>
            <w:tcW w:type="dxa" w:w="4238"/>
          </w:tcPr>
          <w:p>
            <w:r>
              <w:rPr/>
              <w:t>在响应文件中提供声明函。</w:t>
            </w:r>
          </w:p>
        </w:tc>
      </w:tr>
      <w:tr>
        <w:tc>
          <w:tcPr>
            <w:tcW w:type="dxa" w:w="890"/>
          </w:tcPr>
          <w:p>
            <w:r>
              <w:rPr/>
              <w:t>4</w:t>
            </w:r>
          </w:p>
        </w:tc>
        <w:tc>
          <w:tcPr>
            <w:tcW w:type="dxa" w:w="3178"/>
          </w:tcPr>
          <w:p>
            <w:r>
              <w:rPr/>
              <w:t>有依法缴纳税收和社会保障资金的良好记录</w:t>
            </w:r>
          </w:p>
        </w:tc>
        <w:tc>
          <w:tcPr>
            <w:tcW w:type="dxa" w:w="4238"/>
          </w:tcPr>
          <w:p>
            <w:r>
              <w:rPr/>
              <w:t>已对接“粤省事”“粤商通”“粤信签”等系统的，可提供系统的相关查询凭证或截图；或在响应文件中提供该项要求的承诺函（注：供应商的承诺函随中标、成交公告一并公示，对发现供应商承诺不实的，属于提供虚假材料谋取中标、成交，依照《中华人民共和国政府采购法》等国家有关规定追究法律责任）。</w:t>
            </w:r>
          </w:p>
        </w:tc>
      </w:tr>
      <w:tr>
        <w:tc>
          <w:tcPr>
            <w:tcW w:type="dxa" w:w="890"/>
          </w:tcPr>
          <w:p>
            <w:r>
              <w:rPr/>
              <w:t>5</w:t>
            </w:r>
          </w:p>
        </w:tc>
        <w:tc>
          <w:tcPr>
            <w:tcW w:type="dxa" w:w="3178"/>
          </w:tcPr>
          <w:p>
            <w:r>
              <w:rPr/>
              <w:t>参加采购活动前3年内，在经营活动中没有重大违法记录</w:t>
            </w:r>
          </w:p>
        </w:tc>
        <w:tc>
          <w:tcPr>
            <w:tcW w:type="dxa" w:w="4238"/>
          </w:tcPr>
          <w:p>
            <w:r>
              <w:rPr/>
              <w:t>在响应文件中提供声明函。</w:t>
            </w:r>
          </w:p>
        </w:tc>
      </w:tr>
      <w:tr>
        <w:tc>
          <w:tcPr>
            <w:tcW w:type="dxa" w:w="890"/>
          </w:tcPr>
          <w:p>
            <w:r>
              <w:rPr/>
              <w:t>6</w:t>
            </w:r>
          </w:p>
        </w:tc>
        <w:tc>
          <w:tcPr>
            <w:tcW w:type="dxa" w:w="3178"/>
          </w:tcPr>
          <w:p>
            <w:r>
              <w:rPr/>
              <w:t>合同包1(新兴县2023年度自然资源常态化监测、2023年度全国国土变更调查工作、2023年度卫片执法技术服务和2023年度耕地卫片监督项目)特定资格要求如下</w:t>
            </w:r>
          </w:p>
        </w:tc>
        <w:tc>
          <w:tcPr>
            <w:tcW w:type="dxa" w:w="4238"/>
          </w:tcPr>
          <w:p>
            <w:r>
              <w:rPr/>
              <w:t>（1）供应商须具备法律、行政法规规定的其他条件：在响应文件中提供声明函。 （2）供应商须是在中华人民共和国境内注册的具备独立承担民事责任能力的法人或其它组织。 （3）供应商须具有乙级或以上测绘资质证书（专业类别：摄影测量与遥感、界线与不动产测绘、地理信息系统工程），提供有效期内的证书复印件并加盖供应商公章。 （4）供应商未被列入“信用中国”网站（www.creditchina.gov.cn）以下任何记录名单之一：①失信被执行人；②重大税收违法失信主体；③政府采购严重违法失信行为记录名单。同时，不处于中国政府采购网（www.ccgp.gov.cn）“政府采购严重违法失信行为信息记录”中的禁止参加政府采购活动期间。（注：①以采购人或采购代理机构于投标截止日当天在“信用中国”网站及中国政府采购网查询结果为准，并在“信用中国”网站打印信用报告，如在上述网站查询结果均显示没有相关记录，视为不存在上述不良信用记录。②如相关失信记录已失效，供应商须提供相关证明资料。） （5）本项目不接受联合体参加投标，不允许转包和分包。 （6）本项目为一个整体，供应商须对全部内容进行投标，不得分拆。</w:t>
            </w:r>
          </w:p>
        </w:tc>
      </w:tr>
      <w:tr>
        <w:tc>
          <w:tcPr>
            <w:tcW w:type="dxa" w:w="890"/>
          </w:tcPr>
          <w:p>
            <w:r>
              <w:rPr/>
              <w:t>7</w:t>
            </w:r>
          </w:p>
        </w:tc>
        <w:tc>
          <w:tcPr>
            <w:tcW w:type="dxa" w:w="3178"/>
          </w:tcPr>
          <w:p>
            <w:r>
              <w:rPr/>
              <w:t>本采购包专门面向中小企业采购</w:t>
            </w:r>
          </w:p>
        </w:tc>
        <w:tc>
          <w:tcPr>
            <w:tcW w:type="dxa" w:w="4238"/>
          </w:tcPr>
          <w:p>
            <w:r>
              <w:rPr/>
              <w:t>参与的供应商服务全部由符合政策要求的中小企业承接。</w:t>
            </w:r>
          </w:p>
        </w:tc>
      </w:tr>
    </w:tbl>
    <w:p/>
    <w:p>
      <w:pPr>
        <w:ind w:firstLine="480"/>
      </w:pPr>
      <w:r>
        <w:rPr/>
        <w:t>表二符合性审查表：</w:t>
      </w:r>
    </w:p>
    <w:p>
      <w:pPr>
        <w:ind w:firstLine="480"/>
      </w:pPr>
    </w:p>
    <w:p/>
    <w:p>
      <w:r>
        <w:rPr/>
        <w:t>采购包1（新兴县2023年度自然资源常态化监测、2023年度全国国土变更调查工作、2023年度卫片执法技术服务和2023年度耕地卫片监督项目）：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响应文件完整且总体编排有序，并按磋商文件规定要求签署、盖章的</w:t>
            </w:r>
          </w:p>
        </w:tc>
        <w:tc>
          <w:tcPr>
            <w:tcW w:type="dxa" w:w="4238"/>
          </w:tcPr>
          <w:p>
            <w:r>
              <w:rPr/>
              <w:t>响应文件完整且总体编排有序，并按磋商文件规定要求签署、盖章的</w:t>
            </w:r>
          </w:p>
        </w:tc>
      </w:tr>
      <w:tr>
        <w:tc>
          <w:tcPr>
            <w:tcW w:type="dxa" w:w="890"/>
          </w:tcPr>
          <w:p>
            <w:r>
              <w:rPr/>
              <w:t>2</w:t>
            </w:r>
          </w:p>
        </w:tc>
        <w:tc>
          <w:tcPr>
            <w:tcW w:type="dxa" w:w="3178"/>
          </w:tcPr>
          <w:p>
            <w:r>
              <w:rPr/>
              <w:t>响应文件有效期不少于60天</w:t>
            </w:r>
          </w:p>
        </w:tc>
        <w:tc>
          <w:tcPr>
            <w:tcW w:type="dxa" w:w="4238"/>
          </w:tcPr>
          <w:p>
            <w:r>
              <w:rPr/>
              <w:t>响应文件有效期不少于60天</w:t>
            </w:r>
          </w:p>
        </w:tc>
      </w:tr>
      <w:tr>
        <w:tc>
          <w:tcPr>
            <w:tcW w:type="dxa" w:w="890"/>
          </w:tcPr>
          <w:p>
            <w:r>
              <w:rPr/>
              <w:t>3</w:t>
            </w:r>
          </w:p>
        </w:tc>
        <w:tc>
          <w:tcPr>
            <w:tcW w:type="dxa" w:w="3178"/>
          </w:tcPr>
          <w:p>
            <w:r>
              <w:rPr/>
              <w:t>技术、商务的响应没有重大负偏离或保留</w:t>
            </w:r>
          </w:p>
        </w:tc>
        <w:tc>
          <w:tcPr>
            <w:tcW w:type="dxa" w:w="4238"/>
          </w:tcPr>
          <w:p>
            <w:r>
              <w:rPr/>
              <w:t>技术、商务的响应没有重大负偏离或保留</w:t>
            </w:r>
          </w:p>
        </w:tc>
      </w:tr>
      <w:tr>
        <w:tc>
          <w:tcPr>
            <w:tcW w:type="dxa" w:w="890"/>
          </w:tcPr>
          <w:p>
            <w:r>
              <w:rPr/>
              <w:t>4</w:t>
            </w:r>
          </w:p>
        </w:tc>
        <w:tc>
          <w:tcPr>
            <w:tcW w:type="dxa" w:w="3178"/>
          </w:tcPr>
          <w:p>
            <w:r>
              <w:rPr/>
              <w:t>报价是固定价且是唯一的，符合磋商文件规定的报价要求</w:t>
            </w:r>
          </w:p>
        </w:tc>
        <w:tc>
          <w:tcPr>
            <w:tcW w:type="dxa" w:w="4238"/>
          </w:tcPr>
          <w:p>
            <w:r>
              <w:rPr/>
              <w:t>报价是固定价且是唯一的，符合磋商文件规定的报价要求</w:t>
            </w:r>
          </w:p>
        </w:tc>
      </w:tr>
      <w:tr>
        <w:tc>
          <w:tcPr>
            <w:tcW w:type="dxa" w:w="890"/>
          </w:tcPr>
          <w:p>
            <w:r>
              <w:rPr/>
              <w:t>5</w:t>
            </w:r>
          </w:p>
        </w:tc>
        <w:tc>
          <w:tcPr>
            <w:tcW w:type="dxa" w:w="3178"/>
          </w:tcPr>
          <w:p>
            <w:r>
              <w:rPr/>
              <w:t>不存在低于成本价的报价或报价明显不合理而供应商不能合理说明的情况</w:t>
            </w:r>
          </w:p>
        </w:tc>
        <w:tc>
          <w:tcPr>
            <w:tcW w:type="dxa" w:w="4238"/>
          </w:tcPr>
          <w:p>
            <w:r>
              <w:rPr/>
              <w:t>不存在低于成本价的报价或报价明显不合理而供应商不能合理说明的情况</w:t>
            </w:r>
          </w:p>
        </w:tc>
      </w:tr>
      <w:tr>
        <w:tc>
          <w:tcPr>
            <w:tcW w:type="dxa" w:w="890"/>
          </w:tcPr>
          <w:p>
            <w:r>
              <w:rPr/>
              <w:t>6</w:t>
            </w:r>
          </w:p>
        </w:tc>
        <w:tc>
          <w:tcPr>
            <w:tcW w:type="dxa" w:w="3178"/>
          </w:tcPr>
          <w:p>
            <w:r>
              <w:rPr/>
              <w:t>没有出现磋商文件规定的被视为无效响应的其它情形</w:t>
            </w:r>
          </w:p>
        </w:tc>
        <w:tc>
          <w:tcPr>
            <w:tcW w:type="dxa" w:w="4238"/>
          </w:tcPr>
          <w:p>
            <w:r>
              <w:rPr/>
              <w:t>没有出现磋商文件规定的被视为无效响应的其它情形</w:t>
            </w:r>
          </w:p>
        </w:tc>
      </w:tr>
      <w:tr>
        <w:tc>
          <w:tcPr>
            <w:tcW w:type="dxa" w:w="890"/>
          </w:tcPr>
          <w:p>
            <w:r>
              <w:rPr/>
              <w:t>7</w:t>
            </w:r>
          </w:p>
        </w:tc>
        <w:tc>
          <w:tcPr>
            <w:tcW w:type="dxa" w:w="3178"/>
          </w:tcPr>
          <w:p>
            <w:r>
              <w:rPr/>
              <w:t>没有不符合法律、法规规定的其他实质性要求的</w:t>
            </w:r>
          </w:p>
        </w:tc>
        <w:tc>
          <w:tcPr>
            <w:tcW w:type="dxa" w:w="4238"/>
          </w:tcPr>
          <w:p>
            <w:r>
              <w:rPr/>
              <w:t>没有不符合法律、法规规定的其他实质性要求的</w:t>
            </w:r>
          </w:p>
        </w:tc>
      </w:tr>
      <w:tr>
        <w:tc>
          <w:tcPr>
            <w:tcW w:type="dxa" w:w="890"/>
          </w:tcPr>
          <w:p>
            <w:r>
              <w:rPr/>
              <w:t>8</w:t>
            </w:r>
          </w:p>
        </w:tc>
        <w:tc>
          <w:tcPr>
            <w:tcW w:type="dxa" w:w="3178"/>
          </w:tcPr>
          <w:p>
            <w:r>
              <w:rPr/>
              <w:t>响应文件不含有采购人不能接受的附加条件</w:t>
            </w:r>
          </w:p>
        </w:tc>
        <w:tc>
          <w:tcPr>
            <w:tcW w:type="dxa" w:w="4238"/>
          </w:tcPr>
          <w:p>
            <w:r>
              <w:rPr/>
              <w:t>响应文件不含有采购人不能接受的附加条件</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采购包1(新兴县2023年度自然资源常态化监测、2023年度全国国土变更调查工作、2023年度卫片执法技术服务和2023年度耕地卫片监督项目):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商务部分35.0分</w:t>
            </w:r>
          </w:p>
          <w:p>
            <w:r>
              <w:rPr/>
              <w:t>技术部分55.0分</w:t>
            </w:r>
          </w:p>
          <w:p>
            <w:r>
              <w:rPr/>
              <w:t>报价得分10.0分</w:t>
            </w:r>
          </w:p>
        </w:tc>
      </w:tr>
      <w:tr>
        <w:tc>
          <w:tcPr>
            <w:tcW w:type="dxa" w:w="922"/>
            <w:gridSpan w:val="2"/>
            <w:vMerge w:val="restart"/>
          </w:tcPr>
          <w:p>
            <w:pPr>
              <w:jc w:val="center"/>
            </w:pPr>
            <w:r>
              <w:rPr/>
              <w:t>技术部分</w:t>
            </w:r>
          </w:p>
        </w:tc>
        <w:tc>
          <w:tcPr>
            <w:tcW w:type="dxa" w:w="2307"/>
          </w:tcPr>
          <w:p>
            <w:pPr>
              <w:jc w:val="left"/>
            </w:pPr>
            <w:r>
              <w:rPr/>
              <w:t>采购需求响应程度 (3.0分)</w:t>
            </w:r>
            <w:r>
              <w:rPr/>
              <w:t>，（等次分值选择：</w:t>
            </w:r>
            <w:r>
              <w:rPr/>
              <w:t>0.0;</w:t>
            </w:r>
            <w:r>
              <w:rPr/>
              <w:t>1.0;</w:t>
            </w:r>
            <w:r>
              <w:rPr/>
              <w:t>2.0;</w:t>
            </w:r>
            <w:r>
              <w:rPr/>
              <w:t>3.0;</w:t>
            </w:r>
            <w:r>
              <w:rPr/>
              <w:t>）</w:t>
            </w:r>
          </w:p>
        </w:tc>
        <w:tc>
          <w:tcPr>
            <w:tcW w:type="dxa" w:w="5076"/>
          </w:tcPr>
          <w:p>
            <w:pPr>
              <w:jc w:val="left"/>
            </w:pPr>
            <w:r>
              <w:rPr/>
              <w:t>考查各供应商对“第二章 采购需求”中“1.主要商务要求”和“2.技术标准与要求”的非“★”项条款的响应情况： （1）逐条响应，存在合理的正偏离的，得3分； （2）响应完全的，得2分； （3）响应不完全，有部分缺漏的，得1分； （4）响应缺漏严重的，得0分。</w:t>
            </w:r>
          </w:p>
        </w:tc>
      </w:tr>
      <w:tr>
        <w:tc>
          <w:tcPr>
            <w:tcW w:type="dxa" w:w="922"/>
            <w:gridSpan w:val="2"/>
            <w:vMerge/>
          </w:tcPr>
          <w:p/>
        </w:tc>
        <w:tc>
          <w:tcPr>
            <w:tcW w:type="dxa" w:w="2307"/>
          </w:tcPr>
          <w:p>
            <w:pPr>
              <w:jc w:val="left"/>
            </w:pPr>
            <w:r>
              <w:rPr/>
              <w:t>对项目的理解 (12.0分)</w:t>
            </w:r>
            <w:r>
              <w:rPr/>
              <w:t>，（等次分值选择：</w:t>
            </w:r>
            <w:r>
              <w:rPr/>
              <w:t>0.0;</w:t>
            </w:r>
            <w:r>
              <w:rPr/>
              <w:t>3.0;</w:t>
            </w:r>
            <w:r>
              <w:rPr/>
              <w:t>6.0;</w:t>
            </w:r>
            <w:r>
              <w:rPr/>
              <w:t>9.0;</w:t>
            </w:r>
            <w:r>
              <w:rPr/>
              <w:t>12.0;</w:t>
            </w:r>
            <w:r>
              <w:rPr/>
              <w:t>）</w:t>
            </w:r>
          </w:p>
        </w:tc>
        <w:tc>
          <w:tcPr>
            <w:tcW w:type="dxa" w:w="5076"/>
          </w:tcPr>
          <w:p>
            <w:pPr>
              <w:jc w:val="left"/>
            </w:pPr>
            <w:r>
              <w:rPr/>
              <w:t>由磋商小组根据供应商对本项目背景、总体需求、项目内容的理解进行评审：对项目的理解深入、透彻，阐述有理有据、全面准确，得12分；每出现一处相对弱势或瑕疵或欠缺的，扣3分，扣完为止；无提供方案的不得分。</w:t>
            </w:r>
          </w:p>
        </w:tc>
      </w:tr>
      <w:tr>
        <w:tc>
          <w:tcPr>
            <w:tcW w:type="dxa" w:w="922"/>
            <w:gridSpan w:val="2"/>
            <w:vMerge/>
          </w:tcPr>
          <w:p/>
        </w:tc>
        <w:tc>
          <w:tcPr>
            <w:tcW w:type="dxa" w:w="2307"/>
          </w:tcPr>
          <w:p>
            <w:pPr>
              <w:jc w:val="left"/>
            </w:pPr>
            <w:r>
              <w:rPr/>
              <w:t>对政策法规和项目重点、难点的分析 (8.0分)</w:t>
            </w:r>
            <w:r>
              <w:rPr/>
              <w:t>，（等次分值选择：</w:t>
            </w:r>
            <w:r>
              <w:rPr/>
              <w:t>0.0;</w:t>
            </w:r>
            <w:r>
              <w:rPr/>
              <w:t>2.0;</w:t>
            </w:r>
            <w:r>
              <w:rPr/>
              <w:t>4.0;</w:t>
            </w:r>
            <w:r>
              <w:rPr/>
              <w:t>6.0;</w:t>
            </w:r>
            <w:r>
              <w:rPr/>
              <w:t>8.0;</w:t>
            </w:r>
            <w:r>
              <w:rPr/>
              <w:t>）</w:t>
            </w:r>
          </w:p>
        </w:tc>
        <w:tc>
          <w:tcPr>
            <w:tcW w:type="dxa" w:w="5076"/>
          </w:tcPr>
          <w:p>
            <w:pPr>
              <w:jc w:val="left"/>
            </w:pPr>
            <w:r>
              <w:rPr/>
              <w:t>由磋商小组根据供应商对政策法规和项目重点、难点的分析进行评审：熟知国家、省、市相关政策法规，能准确把握项目重点、难点，分析全面、透彻，提出的解决方案针对性、可行性高，得8分；每出现一处相对弱势或瑕疵或欠缺的，扣2分，扣完为止；无提供方案的不得分。</w:t>
            </w:r>
          </w:p>
        </w:tc>
      </w:tr>
      <w:tr>
        <w:tc>
          <w:tcPr>
            <w:tcW w:type="dxa" w:w="922"/>
            <w:gridSpan w:val="2"/>
            <w:vMerge/>
          </w:tcPr>
          <w:p/>
        </w:tc>
        <w:tc>
          <w:tcPr>
            <w:tcW w:type="dxa" w:w="2307"/>
          </w:tcPr>
          <w:p>
            <w:pPr>
              <w:jc w:val="left"/>
            </w:pPr>
            <w:r>
              <w:rPr/>
              <w:t>技术方案 (16.0分)</w:t>
            </w:r>
            <w:r>
              <w:rPr/>
              <w:t>，（等次分值选择：</w:t>
            </w:r>
            <w:r>
              <w:rPr/>
              <w:t>0.0;</w:t>
            </w:r>
            <w:r>
              <w:rPr/>
              <w:t>4.0;</w:t>
            </w:r>
            <w:r>
              <w:rPr/>
              <w:t>8.0;</w:t>
            </w:r>
            <w:r>
              <w:rPr/>
              <w:t>12.0;</w:t>
            </w:r>
            <w:r>
              <w:rPr/>
              <w:t>16.0;</w:t>
            </w:r>
            <w:r>
              <w:rPr/>
              <w:t>）</w:t>
            </w:r>
          </w:p>
        </w:tc>
        <w:tc>
          <w:tcPr>
            <w:tcW w:type="dxa" w:w="5076"/>
          </w:tcPr>
          <w:p>
            <w:pPr>
              <w:jc w:val="left"/>
            </w:pPr>
            <w:r>
              <w:rPr/>
              <w:t>由磋商小组根据供应商提供的技术方案（内容包括但不限于研究方法、技术路线等）进行评审：针对本项目拟定的研究方法、技术路线全面深入且完善，方案详细，合理性、专业性、可行性高，得16分；每出现一处相对弱势或瑕疵或欠缺的，扣4分，扣完为止；无提供方案的不得分。</w:t>
            </w:r>
          </w:p>
        </w:tc>
      </w:tr>
      <w:tr>
        <w:tc>
          <w:tcPr>
            <w:tcW w:type="dxa" w:w="922"/>
            <w:gridSpan w:val="2"/>
            <w:vMerge/>
          </w:tcPr>
          <w:p/>
        </w:tc>
        <w:tc>
          <w:tcPr>
            <w:tcW w:type="dxa" w:w="2307"/>
          </w:tcPr>
          <w:p>
            <w:pPr>
              <w:jc w:val="left"/>
            </w:pPr>
            <w:r>
              <w:rPr/>
              <w:t>质量管理制度和保证措施 (8.0分)</w:t>
            </w:r>
            <w:r>
              <w:rPr/>
              <w:t>，（等次分值选择：</w:t>
            </w:r>
            <w:r>
              <w:rPr/>
              <w:t>0.0;</w:t>
            </w:r>
            <w:r>
              <w:rPr/>
              <w:t>2.0;</w:t>
            </w:r>
            <w:r>
              <w:rPr/>
              <w:t>4.0;</w:t>
            </w:r>
            <w:r>
              <w:rPr/>
              <w:t>6.0;</w:t>
            </w:r>
            <w:r>
              <w:rPr/>
              <w:t>8.0;</w:t>
            </w:r>
            <w:r>
              <w:rPr/>
              <w:t>）</w:t>
            </w:r>
          </w:p>
        </w:tc>
        <w:tc>
          <w:tcPr>
            <w:tcW w:type="dxa" w:w="5076"/>
          </w:tcPr>
          <w:p>
            <w:pPr>
              <w:jc w:val="left"/>
            </w:pPr>
            <w:r>
              <w:rPr/>
              <w:t>由磋商小组根据供应商提供的质量管理制度和保证措施进行评审：制度完善、成熟，措施周全、可靠，得8分；每出现一处相对弱势或瑕疵或欠缺的，扣2分，扣完为止；无提供方案的不得分。</w:t>
            </w:r>
          </w:p>
        </w:tc>
      </w:tr>
      <w:tr>
        <w:tc>
          <w:tcPr>
            <w:tcW w:type="dxa" w:w="922"/>
            <w:gridSpan w:val="2"/>
            <w:vMerge/>
          </w:tcPr>
          <w:p/>
        </w:tc>
        <w:tc>
          <w:tcPr>
            <w:tcW w:type="dxa" w:w="2307"/>
          </w:tcPr>
          <w:p>
            <w:pPr>
              <w:jc w:val="left"/>
            </w:pPr>
            <w:r>
              <w:rPr/>
              <w:t>后续服务方案 (8.0分)</w:t>
            </w:r>
            <w:r>
              <w:rPr/>
              <w:t>，（等次分值选择：</w:t>
            </w:r>
            <w:r>
              <w:rPr/>
              <w:t>0.0;</w:t>
            </w:r>
            <w:r>
              <w:rPr/>
              <w:t>2.0;</w:t>
            </w:r>
            <w:r>
              <w:rPr/>
              <w:t>4.0;</w:t>
            </w:r>
            <w:r>
              <w:rPr/>
              <w:t>6.0;</w:t>
            </w:r>
            <w:r>
              <w:rPr/>
              <w:t>8.0;</w:t>
            </w:r>
            <w:r>
              <w:rPr/>
              <w:t>）</w:t>
            </w:r>
          </w:p>
        </w:tc>
        <w:tc>
          <w:tcPr>
            <w:tcW w:type="dxa" w:w="5076"/>
          </w:tcPr>
          <w:p>
            <w:pPr>
              <w:jc w:val="left"/>
            </w:pPr>
            <w:r>
              <w:rPr/>
              <w:t>由磋商小组根据供应商提供的后续服务方案（内容包括但不限于后续服务内容、服务方式、响应时间、服务承诺等）进行评审：方案详尽，合理性、可行性高，服务承诺具体、可靠，得8分；每出现一处相对弱势或瑕疵或欠缺的，扣2分，扣完为止；无提供方案的不得分。</w:t>
            </w:r>
          </w:p>
        </w:tc>
      </w:tr>
      <w:tr>
        <w:tc>
          <w:tcPr>
            <w:tcW w:type="dxa" w:w="922"/>
            <w:gridSpan w:val="2"/>
            <w:vMerge w:val="restart"/>
          </w:tcPr>
          <w:p>
            <w:pPr>
              <w:jc w:val="center"/>
            </w:pPr>
            <w:r>
              <w:rPr/>
              <w:t>商务部分</w:t>
            </w:r>
          </w:p>
        </w:tc>
        <w:tc>
          <w:tcPr>
            <w:tcW w:type="dxa" w:w="2307"/>
          </w:tcPr>
          <w:p>
            <w:pPr>
              <w:jc w:val="left"/>
            </w:pPr>
            <w:r>
              <w:rPr/>
              <w:t>同类项目业绩 (12.0分)</w:t>
            </w:r>
            <w:r>
              <w:rPr/>
              <w:t>，（等次分值选择：</w:t>
            </w:r>
            <w:r>
              <w:rPr/>
              <w:t>0.0;</w:t>
            </w:r>
            <w:r>
              <w:rPr/>
              <w:t>3.0;</w:t>
            </w:r>
            <w:r>
              <w:rPr/>
              <w:t>6.0;</w:t>
            </w:r>
            <w:r>
              <w:rPr/>
              <w:t>9.0;</w:t>
            </w:r>
            <w:r>
              <w:rPr/>
              <w:t>12.0;</w:t>
            </w:r>
            <w:r>
              <w:rPr/>
              <w:t>）</w:t>
            </w:r>
          </w:p>
        </w:tc>
        <w:tc>
          <w:tcPr>
            <w:tcW w:type="dxa" w:w="5076"/>
          </w:tcPr>
          <w:p>
            <w:pPr>
              <w:jc w:val="left"/>
            </w:pPr>
            <w:r>
              <w:rPr/>
              <w:t>供应商自2022年以来（以合同签订时间为准）承接过同类项目业绩的：每提供1个得3分，本项最高得12分。 【备注：（1）同类项目业绩指包含自然资源常态化监测、国土变更调查、卫片执法技术服务、耕地卫片监督四项工作中的任意一项或以上工作；（2）如所提供业绩的工作内容与上述工作一致，但工作名称与上述不一致的，也视为同类项目业绩；（3）一个业绩中含上述两项或以上工作的，只按一个业绩计分，不累计得分；（4）响应文件中须提供合同关键页复印件，不提供不得分。】</w:t>
            </w:r>
          </w:p>
        </w:tc>
      </w:tr>
      <w:tr>
        <w:tc>
          <w:tcPr>
            <w:tcW w:type="dxa" w:w="922"/>
            <w:gridSpan w:val="2"/>
            <w:vMerge/>
          </w:tcPr>
          <w:p/>
        </w:tc>
        <w:tc>
          <w:tcPr>
            <w:tcW w:type="dxa" w:w="2307"/>
          </w:tcPr>
          <w:p>
            <w:pPr>
              <w:jc w:val="left"/>
            </w:pPr>
            <w:r>
              <w:rPr/>
              <w:t>拟投入本项目的人员 (23.0分)</w:t>
            </w:r>
          </w:p>
        </w:tc>
        <w:tc>
          <w:tcPr>
            <w:tcW w:type="dxa" w:w="5076"/>
          </w:tcPr>
          <w:p>
            <w:pPr>
              <w:jc w:val="left"/>
            </w:pPr>
            <w:r>
              <w:rPr/>
              <w:t>1、项目负责人（1人，10分）： （1）上述同类项目业绩中，项目负责人有参加过的：每个项目得0.5分，本小项最高得2分。（响应文件中提供的项目合同或项目成果文件关键页复印件，须体现项目负责人有参加过该项目的相关信息） （2）项目负责人同时满足以下四项条件的，得8分；满足其中三项条件的，得5分；满足其中两项条件的，得3分；满足其中一项条件的，得1分。 ①具备测绘类专业中级或以上职称证书； ②具备摄影测量员一级职业资格证书； ③具备GIS应用技术测评证书； ④获得自然资源部门或受其监督管理的行业协会颁发的省部级或以上科学技术奖励。 2、技术负责人（1人，3分）：具备注册测绘师资格证书的，得3分。 3、其他技术人员（不含项目负责人、技术负责人）（10分）：具备测绘类/国土类专业初级或以上职称证书的，每提供1人得2分，本小项最高得10分。（同一人具备多个专业职称的只按一个职称计分，不累计得分） 【备注：响应文件中须提供以上人员相关证明文件及供应商为其购买的近三个月社保证明文件（社保证明须有社保管理部门盖章）复印件，各项不提供相应证明材料的不计分。】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磋商文件要求且投标价格最低的投标报价为评标基准价。】最低报价不是中标的唯一依据。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磋商小组采取随机抽取的方式确定。排名第一的磋商供应商为第一成交候选人，排名第二的磋商供应商为第二成交候选人，排名第三的磋商供应商为第三成交候选人（提供相同品牌产品（非单一产品采购，以核心产品为准。多个核心产品的，有一种产品品牌相同，即视为提供相同品牌产品），评审后得分最高的同品牌磋商供应商获得成交候选人推荐资格；评审得分相同的，由采购人或者采购人委托磋商小组采取随机抽取方式确定，其他同品牌磋商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
    <w:p>
      <w:r>
        <w:rPr>
          <w:b/>
          <w:sz w:val="21"/>
        </w:rPr>
        <w:t>注：</w:t>
      </w:r>
    </w:p>
    <w:p>
      <w:r>
        <w:rPr>
          <w:b/>
          <w:sz w:val="21"/>
        </w:rPr>
        <w:t>1、</w:t>
      </w:r>
      <w:r>
        <w:rPr>
          <w:b/>
          <w:sz w:val="21"/>
        </w:rPr>
        <w:t>本合同仅为合同的参考文本，合同签订双方应按照磋商文件的要求和响应文件的承诺进行修订。</w:t>
      </w:r>
    </w:p>
    <w:p>
      <w:r>
        <w:rPr>
          <w:b/>
          <w:sz w:val="21"/>
        </w:rPr>
        <w:t>2、根据《关于印发&lt;政府采购促进中小企业发展管理办法&gt;的通知》（财库〔2020〕46号），本合同为中小企业预留合同。</w:t>
      </w:r>
    </w:p>
    <w:p>
      <w:pPr>
        <w:jc w:val="center"/>
      </w:pPr>
    </w:p>
    <w:p>
      <w:pPr>
        <w:jc w:val="center"/>
      </w:pPr>
    </w:p>
    <w:p>
      <w:pPr>
        <w:jc w:val="center"/>
      </w:pPr>
      <w:r>
        <w:rPr/>
        <w:t xml:space="preserve"> </w:t>
      </w:r>
    </w:p>
    <w:p>
      <w:pPr>
        <w:jc w:val="center"/>
      </w:pPr>
      <w:r>
        <w:rPr/>
        <w:t xml:space="preserve"> </w:t>
      </w:r>
    </w:p>
    <w:p>
      <w:pPr>
        <w:jc w:val="center"/>
      </w:pPr>
      <w:r>
        <w:rPr>
          <w:b/>
          <w:sz w:val="84"/>
        </w:rPr>
        <w:t>政府采购项目</w:t>
      </w:r>
    </w:p>
    <w:p/>
    <w:p/>
    <w:p>
      <w:pPr>
        <w:jc w:val="center"/>
      </w:pPr>
      <w:r>
        <w:rPr/>
        <w:t xml:space="preserve"> </w:t>
      </w:r>
    </w:p>
    <w:p>
      <w:pPr>
        <w:jc w:val="center"/>
      </w:pPr>
      <w:r>
        <w:rPr/>
        <w:t xml:space="preserve"> </w:t>
      </w:r>
    </w:p>
    <w:p>
      <w:pPr>
        <w:jc w:val="center"/>
      </w:pPr>
      <w:r>
        <w:rPr/>
        <w:t xml:space="preserve"> </w:t>
      </w:r>
    </w:p>
    <w:p>
      <w:pPr>
        <w:jc w:val="center"/>
      </w:pPr>
      <w:r>
        <w:rPr>
          <w:b/>
          <w:sz w:val="52"/>
        </w:rPr>
        <w:t>合</w:t>
      </w:r>
    </w:p>
    <w:p>
      <w:pPr>
        <w:jc w:val="center"/>
      </w:pPr>
    </w:p>
    <w:p>
      <w:pPr>
        <w:jc w:val="center"/>
      </w:pPr>
      <w:r>
        <w:rPr>
          <w:b/>
          <w:sz w:val="52"/>
        </w:rPr>
        <w:t>同</w:t>
      </w:r>
    </w:p>
    <w:p>
      <w:pPr>
        <w:jc w:val="center"/>
      </w:pPr>
    </w:p>
    <w:p>
      <w:pPr>
        <w:jc w:val="center"/>
      </w:pPr>
      <w:r>
        <w:rPr>
          <w:b/>
          <w:sz w:val="52"/>
        </w:rPr>
        <w:t>书</w:t>
      </w:r>
    </w:p>
    <w:p/>
    <w:p>
      <w:pPr>
        <w:jc w:val="both"/>
      </w:pPr>
    </w:p>
    <w:p/>
    <w:p>
      <w:pPr>
        <w:ind w:firstLine="281"/>
      </w:pPr>
      <w:r>
        <w:rPr/>
        <w:t xml:space="preserve"> </w:t>
      </w:r>
    </w:p>
    <w:p>
      <w:pPr>
        <w:ind w:firstLine="281"/>
      </w:pPr>
      <w:r>
        <w:rPr/>
        <w:t xml:space="preserve"> </w:t>
      </w:r>
    </w:p>
    <w:p>
      <w:pPr>
        <w:ind w:firstLine="281"/>
      </w:pPr>
      <w:r>
        <w:rPr>
          <w:b/>
          <w:sz w:val="28"/>
        </w:rPr>
        <w:t>项目名称：</w:t>
      </w:r>
      <w:r>
        <w:rPr>
          <w:b/>
          <w:sz w:val="21"/>
          <w:u w:val="single"/>
        </w:rPr>
        <w:t xml:space="preserve">                          </w:t>
      </w:r>
    </w:p>
    <w:p>
      <w:pPr>
        <w:ind w:firstLine="281"/>
      </w:pPr>
      <w:r>
        <w:rPr>
          <w:b/>
          <w:sz w:val="28"/>
        </w:rPr>
        <w:t>合同编号：</w:t>
      </w:r>
      <w:r>
        <w:rPr>
          <w:b/>
          <w:sz w:val="21"/>
          <w:u w:val="single"/>
        </w:rPr>
        <w:t xml:space="preserve">                          </w:t>
      </w:r>
    </w:p>
    <w:p>
      <w:pPr>
        <w:ind w:firstLine="281"/>
      </w:pPr>
      <w:r>
        <w:rPr>
          <w:b/>
          <w:sz w:val="28"/>
        </w:rPr>
        <w:t>签约地点：</w:t>
      </w:r>
      <w:r>
        <w:rPr>
          <w:b/>
          <w:sz w:val="21"/>
          <w:u w:val="single"/>
        </w:rPr>
        <w:t xml:space="preserve">                          </w:t>
      </w:r>
    </w:p>
    <w:p>
      <w:pPr>
        <w:ind w:firstLine="281"/>
      </w:pPr>
      <w:r>
        <w:rPr>
          <w:b/>
          <w:sz w:val="28"/>
        </w:rPr>
        <w:t>签订日期：</w:t>
      </w:r>
      <w:r>
        <w:rPr>
          <w:b/>
          <w:sz w:val="21"/>
          <w:u w:val="single"/>
        </w:rPr>
        <w:t xml:space="preserve">       </w:t>
      </w:r>
      <w:r>
        <w:rPr>
          <w:b/>
          <w:sz w:val="28"/>
        </w:rPr>
        <w:t>年</w:t>
      </w:r>
      <w:r>
        <w:rPr>
          <w:b/>
          <w:sz w:val="21"/>
          <w:u w:val="single"/>
        </w:rPr>
        <w:t xml:space="preserve">       </w:t>
      </w:r>
      <w:r>
        <w:rPr>
          <w:b/>
          <w:sz w:val="28"/>
        </w:rPr>
        <w:t>月</w:t>
      </w:r>
      <w:r>
        <w:rPr>
          <w:b/>
          <w:sz w:val="21"/>
          <w:u w:val="single"/>
        </w:rPr>
        <w:t xml:space="preserve">       </w:t>
      </w:r>
      <w:r>
        <w:rPr>
          <w:b/>
          <w:sz w:val="28"/>
        </w:rPr>
        <w:t>日</w:t>
      </w:r>
    </w:p>
    <w:p>
      <w:pPr>
        <w:jc w:val="center"/>
      </w:pPr>
    </w:p>
    <w:p/>
    <w:p>
      <w:pPr>
        <w:pBdr>
          <w:bottom w:val="single" w:sz="12" w:space="1"/>
        </w:pBdr>
      </w:pPr>
    </w:p>
    <w:p>
      <w:r>
        <w:rPr>
          <w:b/>
          <w:sz w:val="21"/>
        </w:rPr>
        <w:t>甲</w:t>
      </w:r>
      <w:r>
        <w:rPr>
          <w:b/>
          <w:sz w:val="21"/>
        </w:rPr>
        <w:t xml:space="preserve">   </w:t>
      </w:r>
      <w:r>
        <w:rPr>
          <w:b/>
          <w:sz w:val="21"/>
        </w:rPr>
        <w:t>方：</w:t>
      </w:r>
      <w:r>
        <w:rPr>
          <w:b/>
          <w:sz w:val="21"/>
          <w:u w:val="single"/>
        </w:rPr>
        <w:t xml:space="preserve">                 </w:t>
      </w:r>
    </w:p>
    <w:p>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r>
        <w:rPr>
          <w:b/>
          <w:sz w:val="21"/>
        </w:rPr>
        <w:t>乙</w:t>
      </w:r>
      <w:r>
        <w:rPr>
          <w:b/>
          <w:sz w:val="21"/>
        </w:rPr>
        <w:t xml:space="preserve">   </w:t>
      </w:r>
      <w:r>
        <w:rPr>
          <w:b/>
          <w:sz w:val="21"/>
        </w:rPr>
        <w:t>方：</w:t>
      </w:r>
      <w:r>
        <w:rPr>
          <w:b/>
          <w:sz w:val="21"/>
          <w:u w:val="single"/>
        </w:rPr>
        <w:t xml:space="preserve">                 </w:t>
      </w:r>
    </w:p>
    <w:p>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p>
      <w:pPr>
        <w:ind w:firstLine="420"/>
      </w:pPr>
      <w:r>
        <w:rPr>
          <w:sz w:val="21"/>
        </w:rPr>
        <w:t>根据</w:t>
      </w:r>
      <w:r>
        <w:rPr>
          <w:sz w:val="21"/>
          <w:u w:val="single"/>
        </w:rPr>
        <w:t xml:space="preserve">                          </w:t>
      </w:r>
      <w:r>
        <w:rPr>
          <w:sz w:val="21"/>
        </w:rPr>
        <w:t>项目（</w:t>
      </w:r>
      <w:r>
        <w:rPr>
          <w:sz w:val="21"/>
        </w:rPr>
        <w:t>采购项目编号</w:t>
      </w:r>
      <w:r>
        <w:rPr>
          <w:sz w:val="21"/>
        </w:rPr>
        <w:t>：</w:t>
      </w:r>
      <w:r>
        <w:rPr>
          <w:sz w:val="21"/>
          <w:u w:val="single"/>
        </w:rPr>
        <w:t xml:space="preserve">         </w:t>
      </w:r>
      <w:r>
        <w:rPr>
          <w:sz w:val="21"/>
        </w:rPr>
        <w:t>）的采购结果，按照《中华人民共和国政府采购法》、《</w:t>
      </w:r>
      <w:r>
        <w:rPr>
          <w:sz w:val="21"/>
        </w:rPr>
        <w:t>中华人民共和国</w:t>
      </w:r>
      <w:r>
        <w:rPr>
          <w:sz w:val="21"/>
        </w:rPr>
        <w:t>民法典》的规定，</w:t>
      </w:r>
      <w:r>
        <w:rPr>
          <w:sz w:val="21"/>
        </w:rPr>
        <w:t>经双方协商，</w:t>
      </w:r>
      <w:r>
        <w:rPr>
          <w:sz w:val="21"/>
        </w:rPr>
        <w:t>本着平等互利和诚实信用的原则，</w:t>
      </w:r>
      <w:r>
        <w:rPr>
          <w:sz w:val="21"/>
        </w:rPr>
        <w:t>一致同意签订本合同如下</w:t>
      </w:r>
      <w:r>
        <w:rPr>
          <w:sz w:val="21"/>
        </w:rPr>
        <w:t>。</w:t>
      </w:r>
    </w:p>
    <w:p>
      <w:pPr>
        <w:jc w:val="both"/>
      </w:pPr>
      <w:r>
        <w:rPr>
          <w:b/>
          <w:sz w:val="21"/>
        </w:rPr>
        <w:t>一、</w:t>
      </w:r>
      <w:r>
        <w:rPr>
          <w:b/>
          <w:sz w:val="21"/>
        </w:rPr>
        <w:t>合同金额</w:t>
      </w:r>
    </w:p>
    <w:tbl>
      <w:tblPr>
        <w:tblW w:w="0" w:type="auto"/>
        <w:tblBorders>
          <w:top w:val="none" w:color="000000" w:sz="4"/>
          <w:left w:val="none" w:color="000000" w:sz="4"/>
          <w:bottom w:val="none" w:color="000000" w:sz="4"/>
          <w:right w:val="none" w:color="000000" w:sz="4"/>
          <w:insideH w:val="none"/>
          <w:insideV w:val="none"/>
        </w:tblBorders>
      </w:tblPr>
      <w:tblGrid>
        <w:gridCol w:w="901"/>
        <w:gridCol w:w="437"/>
        <w:gridCol w:w="1521"/>
        <w:gridCol w:w="1009"/>
        <w:gridCol w:w="1009"/>
        <w:gridCol w:w="944"/>
        <w:gridCol w:w="2485"/>
      </w:tblGrid>
      <w:tr>
        <w:tc>
          <w:tcPr>
            <w:tcW w:type="dxa" w:w="901"/>
            <w:tcBorders>
              <w:top w:val="single" w:color="000000" w:sz="4"/>
              <w:left w:val="single" w:color="000000" w:sz="4"/>
              <w:bottom w:val="single" w:color="000000" w:sz="4"/>
              <w:right w:val="single" w:color="000000" w:sz="4"/>
            </w:tcBorders>
            <w:vAlign w:val="top"/>
          </w:tcPr>
          <w:p>
            <w:pPr>
              <w:jc w:val="center"/>
            </w:pPr>
            <w:r>
              <w:rPr>
                <w:b/>
                <w:sz w:val="21"/>
              </w:rPr>
              <w:t>工作内容</w:t>
            </w:r>
          </w:p>
        </w:tc>
        <w:tc>
          <w:tcPr>
            <w:tcW w:type="dxa" w:w="437"/>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1521"/>
            <w:tcBorders>
              <w:top w:val="single" w:color="000000" w:sz="4"/>
              <w:left w:val="single" w:color="000000" w:sz="4"/>
              <w:bottom w:val="single" w:color="000000" w:sz="4"/>
              <w:right w:val="single" w:color="000000" w:sz="4"/>
            </w:tcBorders>
            <w:vAlign w:val="top"/>
          </w:tcPr>
          <w:p>
            <w:pPr>
              <w:jc w:val="center"/>
            </w:pPr>
            <w:r>
              <w:rPr>
                <w:b/>
                <w:sz w:val="21"/>
              </w:rPr>
              <w:t>工作项</w:t>
            </w:r>
          </w:p>
        </w:tc>
        <w:tc>
          <w:tcPr>
            <w:tcW w:type="dxa" w:w="1009"/>
            <w:tcBorders>
              <w:top w:val="single" w:color="000000" w:sz="4"/>
              <w:left w:val="single" w:color="000000" w:sz="4"/>
              <w:bottom w:val="single" w:color="000000" w:sz="4"/>
              <w:right w:val="single" w:color="000000" w:sz="4"/>
            </w:tcBorders>
            <w:vAlign w:val="top"/>
          </w:tcPr>
          <w:p>
            <w:pPr>
              <w:jc w:val="center"/>
            </w:pPr>
            <w:r>
              <w:rPr>
                <w:b/>
                <w:sz w:val="21"/>
              </w:rPr>
              <w:t>单位</w:t>
            </w:r>
          </w:p>
        </w:tc>
        <w:tc>
          <w:tcPr>
            <w:tcW w:type="dxa" w:w="1009"/>
            <w:tcBorders>
              <w:top w:val="single" w:color="000000" w:sz="4"/>
              <w:left w:val="single" w:color="000000" w:sz="4"/>
              <w:bottom w:val="single" w:color="000000" w:sz="4"/>
              <w:right w:val="single" w:color="000000" w:sz="4"/>
            </w:tcBorders>
            <w:vAlign w:val="top"/>
          </w:tcPr>
          <w:p>
            <w:pPr>
              <w:jc w:val="center"/>
            </w:pPr>
            <w:r>
              <w:rPr>
                <w:b/>
                <w:sz w:val="21"/>
              </w:rPr>
              <w:t>工作量</w:t>
            </w:r>
          </w:p>
        </w:tc>
        <w:tc>
          <w:tcPr>
            <w:tcW w:type="dxa" w:w="944"/>
            <w:tcBorders>
              <w:top w:val="single" w:color="000000" w:sz="4"/>
              <w:left w:val="single" w:color="000000" w:sz="4"/>
              <w:bottom w:val="single" w:color="000000" w:sz="4"/>
              <w:right w:val="single" w:color="000000" w:sz="4"/>
            </w:tcBorders>
            <w:vAlign w:val="top"/>
          </w:tcPr>
          <w:p>
            <w:pPr>
              <w:jc w:val="center"/>
            </w:pPr>
            <w:r>
              <w:rPr>
                <w:b/>
                <w:sz w:val="21"/>
              </w:rPr>
              <w:t>单价</w:t>
            </w:r>
          </w:p>
        </w:tc>
        <w:tc>
          <w:tcPr>
            <w:tcW w:type="dxa" w:w="2485"/>
            <w:tcBorders>
              <w:top w:val="single" w:color="000000" w:sz="4"/>
              <w:left w:val="single" w:color="000000" w:sz="4"/>
              <w:bottom w:val="single" w:color="000000" w:sz="4"/>
              <w:right w:val="single" w:color="000000" w:sz="4"/>
            </w:tcBorders>
            <w:vAlign w:val="top"/>
          </w:tcPr>
          <w:p>
            <w:pPr>
              <w:jc w:val="center"/>
            </w:pPr>
            <w:r>
              <w:rPr>
                <w:b/>
                <w:sz w:val="21"/>
              </w:rPr>
              <w:t>分项价格</w:t>
            </w:r>
          </w:p>
        </w:tc>
      </w:tr>
      <w:tr>
        <w:tc>
          <w:tcPr>
            <w:tcW w:type="dxa" w:w="901"/>
            <w:vMerge w:val="restart"/>
            <w:tcBorders>
              <w:top w:val="none" w:color="000000" w:sz="4"/>
              <w:left w:val="single" w:color="000000" w:sz="4"/>
              <w:bottom w:val="single" w:color="000000" w:sz="4"/>
              <w:right w:val="single" w:color="000000" w:sz="4"/>
            </w:tcBorders>
            <w:vAlign w:val="top"/>
          </w:tcPr>
          <w:p>
            <w:pPr>
              <w:jc w:val="center"/>
            </w:pPr>
            <w:r>
              <w:rPr>
                <w:b/>
                <w:sz w:val="21"/>
              </w:rPr>
              <w:t>新兴县</w:t>
            </w:r>
            <w:r>
              <w:rPr>
                <w:b/>
                <w:sz w:val="21"/>
              </w:rPr>
              <w:t>2023年度自然资源常态化监测</w:t>
            </w:r>
          </w:p>
        </w:tc>
        <w:tc>
          <w:tcPr>
            <w:tcW w:type="dxa" w:w="437"/>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521"/>
            <w:tcBorders>
              <w:top w:val="none" w:color="000000" w:sz="4"/>
              <w:left w:val="single" w:color="000000" w:sz="4"/>
              <w:bottom w:val="single" w:color="000000" w:sz="4"/>
              <w:right w:val="single" w:color="000000" w:sz="4"/>
            </w:tcBorders>
            <w:vAlign w:val="top"/>
          </w:tcPr>
          <w:p>
            <w:pPr>
              <w:jc w:val="center"/>
            </w:pPr>
            <w:r>
              <w:rPr>
                <w:sz w:val="21"/>
              </w:rPr>
              <w:t>县级外业调查</w:t>
            </w:r>
          </w:p>
        </w:tc>
        <w:tc>
          <w:tcPr>
            <w:tcW w:type="dxa" w:w="1009"/>
            <w:tcBorders>
              <w:top w:val="none" w:color="000000" w:sz="4"/>
              <w:left w:val="single" w:color="000000" w:sz="4"/>
              <w:bottom w:val="single" w:color="000000" w:sz="4"/>
              <w:right w:val="single" w:color="000000" w:sz="4"/>
            </w:tcBorders>
            <w:vAlign w:val="top"/>
          </w:tcPr>
          <w:p>
            <w:pPr>
              <w:jc w:val="center"/>
            </w:pPr>
            <w:r>
              <w:rPr>
                <w:sz w:val="21"/>
              </w:rPr>
              <w:t>个（图斑）</w:t>
            </w:r>
          </w:p>
        </w:tc>
        <w:tc>
          <w:tcPr>
            <w:tcW w:type="dxa" w:w="1009"/>
            <w:tcBorders>
              <w:top w:val="none" w:color="000000" w:sz="4"/>
              <w:left w:val="single" w:color="000000" w:sz="4"/>
              <w:bottom w:val="single" w:color="000000" w:sz="4"/>
              <w:right w:val="single" w:color="000000" w:sz="4"/>
            </w:tcBorders>
            <w:vAlign w:val="top"/>
          </w:tcPr>
          <w:p>
            <w:pPr>
              <w:jc w:val="center"/>
            </w:pPr>
            <w:r>
              <w:rPr>
                <w:sz w:val="21"/>
              </w:rPr>
              <w:t>预估数：</w:t>
            </w:r>
            <w:r>
              <w:rPr>
                <w:sz w:val="21"/>
              </w:rPr>
              <w:t>3324</w:t>
            </w:r>
          </w:p>
        </w:tc>
        <w:tc>
          <w:tcPr>
            <w:tcW w:type="dxa" w:w="944"/>
            <w:tcBorders>
              <w:top w:val="none" w:color="000000" w:sz="4"/>
              <w:left w:val="single" w:color="000000" w:sz="4"/>
              <w:bottom w:val="single" w:color="000000" w:sz="4"/>
              <w:right w:val="single" w:color="000000" w:sz="4"/>
            </w:tcBorders>
            <w:vAlign w:val="top"/>
          </w:tcPr>
          <w:p>
            <w:pPr>
              <w:jc w:val="center"/>
            </w:pPr>
            <w:r>
              <w:rPr>
                <w:sz w:val="21"/>
                <w:u w:val="single"/>
              </w:rPr>
              <w:t xml:space="preserve">   </w:t>
            </w:r>
            <w:r>
              <w:rPr>
                <w:sz w:val="21"/>
              </w:rPr>
              <w:t>元</w:t>
            </w:r>
            <w:r>
              <w:rPr>
                <w:sz w:val="21"/>
              </w:rPr>
              <w:t>/个</w:t>
            </w:r>
          </w:p>
        </w:tc>
        <w:tc>
          <w:tcPr>
            <w:tcW w:type="dxa" w:w="2485"/>
            <w:tcBorders>
              <w:top w:val="none" w:color="000000" w:sz="4"/>
              <w:left w:val="single" w:color="000000" w:sz="4"/>
              <w:bottom w:val="single" w:color="000000" w:sz="4"/>
              <w:right w:val="single" w:color="000000" w:sz="4"/>
            </w:tcBorders>
            <w:vAlign w:val="top"/>
          </w:tcPr>
          <w:p>
            <w:pPr>
              <w:jc w:val="center"/>
            </w:pPr>
            <w:r>
              <w:rPr>
                <w:sz w:val="21"/>
                <w:u w:val="single"/>
              </w:rPr>
              <w:t xml:space="preserve">       </w:t>
            </w:r>
            <w:r>
              <w:rPr>
                <w:sz w:val="21"/>
              </w:rPr>
              <w:t>元</w:t>
            </w:r>
          </w:p>
        </w:tc>
      </w:tr>
      <w:tr>
        <w:tc>
          <w:tcPr>
            <w:tcW w:type="dxa" w:w="901"/>
            <w:vMerge/>
            <w:tcBorders>
              <w:top w:val="none" w:color="000000" w:sz="4"/>
              <w:left w:val="single" w:color="000000" w:sz="4"/>
              <w:bottom w:val="single" w:color="000000" w:sz="4"/>
              <w:right w:val="single" w:color="000000" w:sz="4"/>
            </w:tcBorders>
          </w:tcPr>
          <w:p/>
        </w:tc>
        <w:tc>
          <w:tcPr>
            <w:tcW w:type="dxa" w:w="437"/>
            <w:tcBorders>
              <w:top w:val="none" w:color="000000" w:sz="4"/>
              <w:left w:val="single" w:color="000000" w:sz="4"/>
              <w:bottom w:val="single" w:color="000000" w:sz="4"/>
              <w:right w:val="single" w:color="000000" w:sz="4"/>
            </w:tcBorders>
            <w:vAlign w:val="top"/>
          </w:tcPr>
          <w:p>
            <w:pPr>
              <w:jc w:val="center"/>
            </w:pPr>
            <w:r>
              <w:rPr>
                <w:sz w:val="21"/>
              </w:rPr>
              <w:t>2</w:t>
            </w:r>
          </w:p>
        </w:tc>
        <w:tc>
          <w:tcPr>
            <w:tcW w:type="dxa" w:w="1521"/>
            <w:tcBorders>
              <w:top w:val="none" w:color="000000" w:sz="4"/>
              <w:left w:val="single" w:color="000000" w:sz="4"/>
              <w:bottom w:val="single" w:color="000000" w:sz="4"/>
              <w:right w:val="single" w:color="000000" w:sz="4"/>
            </w:tcBorders>
            <w:vAlign w:val="top"/>
          </w:tcPr>
          <w:p>
            <w:pPr>
              <w:jc w:val="center"/>
            </w:pPr>
            <w:r>
              <w:rPr>
                <w:sz w:val="21"/>
              </w:rPr>
              <w:t>县级内业填报</w:t>
            </w:r>
          </w:p>
        </w:tc>
        <w:tc>
          <w:tcPr>
            <w:tcW w:type="dxa" w:w="1009"/>
            <w:tcBorders>
              <w:top w:val="none" w:color="000000" w:sz="4"/>
              <w:left w:val="single" w:color="000000" w:sz="4"/>
              <w:bottom w:val="single" w:color="000000" w:sz="4"/>
              <w:right w:val="single" w:color="000000" w:sz="4"/>
            </w:tcBorders>
            <w:vAlign w:val="top"/>
          </w:tcPr>
          <w:p>
            <w:pPr>
              <w:jc w:val="center"/>
            </w:pPr>
            <w:r>
              <w:rPr>
                <w:sz w:val="21"/>
              </w:rPr>
              <w:t>项</w:t>
            </w:r>
          </w:p>
        </w:tc>
        <w:tc>
          <w:tcPr>
            <w:tcW w:type="dxa" w:w="1009"/>
            <w:tcBorders>
              <w:top w:val="none" w:color="000000" w:sz="4"/>
              <w:left w:val="single" w:color="000000" w:sz="4"/>
              <w:bottom w:val="single" w:color="000000" w:sz="4"/>
              <w:right w:val="single" w:color="000000" w:sz="4"/>
            </w:tcBorders>
            <w:vAlign w:val="top"/>
          </w:tcPr>
          <w:p>
            <w:pPr>
              <w:jc w:val="center"/>
            </w:pPr>
            <w:r>
              <w:rPr>
                <w:sz w:val="21"/>
              </w:rPr>
              <w:t>1</w:t>
            </w:r>
          </w:p>
        </w:tc>
        <w:tc>
          <w:tcPr>
            <w:tcW w:type="dxa" w:w="944"/>
            <w:tcBorders>
              <w:top w:val="none" w:color="000000" w:sz="4"/>
              <w:left w:val="single" w:color="000000" w:sz="4"/>
              <w:bottom w:val="single" w:color="000000" w:sz="4"/>
              <w:right w:val="single" w:color="000000" w:sz="4"/>
            </w:tcBorders>
            <w:vAlign w:val="top"/>
          </w:tcPr>
          <w:p>
            <w:pPr>
              <w:jc w:val="center"/>
            </w:pPr>
            <w:r>
              <w:rPr>
                <w:sz w:val="21"/>
              </w:rPr>
              <w:t>/</w:t>
            </w:r>
          </w:p>
        </w:tc>
        <w:tc>
          <w:tcPr>
            <w:tcW w:type="dxa" w:w="2485"/>
            <w:vMerge w:val="restart"/>
            <w:tcBorders>
              <w:top w:val="none" w:color="000000" w:sz="4"/>
              <w:left w:val="single" w:color="000000" w:sz="4"/>
              <w:bottom w:val="single" w:color="000000" w:sz="4"/>
              <w:right w:val="single" w:color="000000" w:sz="4"/>
            </w:tcBorders>
            <w:vAlign w:val="top"/>
          </w:tcPr>
          <w:p>
            <w:pPr>
              <w:jc w:val="center"/>
            </w:pPr>
            <w:r>
              <w:rPr>
                <w:sz w:val="21"/>
                <w:u w:val="single"/>
              </w:rPr>
              <w:t xml:space="preserve">       </w:t>
            </w:r>
            <w:r>
              <w:rPr>
                <w:sz w:val="21"/>
              </w:rPr>
              <w:t>元</w:t>
            </w:r>
          </w:p>
        </w:tc>
      </w:tr>
      <w:tr>
        <w:tc>
          <w:tcPr>
            <w:tcW w:type="dxa" w:w="901"/>
            <w:vMerge/>
            <w:tcBorders>
              <w:top w:val="none" w:color="000000" w:sz="4"/>
              <w:left w:val="single" w:color="000000" w:sz="4"/>
              <w:bottom w:val="single" w:color="000000" w:sz="4"/>
              <w:right w:val="single" w:color="000000" w:sz="4"/>
            </w:tcBorders>
          </w:tcPr>
          <w:p/>
        </w:tc>
        <w:tc>
          <w:tcPr>
            <w:tcW w:type="dxa" w:w="437"/>
            <w:tcBorders>
              <w:top w:val="none" w:color="000000" w:sz="4"/>
              <w:left w:val="single" w:color="000000" w:sz="4"/>
              <w:bottom w:val="single" w:color="000000" w:sz="4"/>
              <w:right w:val="single" w:color="000000" w:sz="4"/>
            </w:tcBorders>
            <w:vAlign w:val="top"/>
          </w:tcPr>
          <w:p>
            <w:pPr>
              <w:jc w:val="center"/>
            </w:pPr>
            <w:r>
              <w:rPr>
                <w:sz w:val="21"/>
              </w:rPr>
              <w:t>3</w:t>
            </w:r>
          </w:p>
        </w:tc>
        <w:tc>
          <w:tcPr>
            <w:tcW w:type="dxa" w:w="1521"/>
            <w:tcBorders>
              <w:top w:val="none" w:color="000000" w:sz="4"/>
              <w:left w:val="single" w:color="000000" w:sz="4"/>
              <w:bottom w:val="single" w:color="000000" w:sz="4"/>
              <w:right w:val="single" w:color="000000" w:sz="4"/>
            </w:tcBorders>
            <w:vAlign w:val="top"/>
          </w:tcPr>
          <w:p>
            <w:pPr>
              <w:jc w:val="center"/>
            </w:pPr>
            <w:r>
              <w:rPr>
                <w:sz w:val="21"/>
              </w:rPr>
              <w:t>县级审核</w:t>
            </w:r>
          </w:p>
        </w:tc>
        <w:tc>
          <w:tcPr>
            <w:tcW w:type="dxa" w:w="1009"/>
            <w:tcBorders>
              <w:top w:val="none" w:color="000000" w:sz="4"/>
              <w:left w:val="single" w:color="000000" w:sz="4"/>
              <w:bottom w:val="single" w:color="000000" w:sz="4"/>
              <w:right w:val="single" w:color="000000" w:sz="4"/>
            </w:tcBorders>
            <w:vAlign w:val="top"/>
          </w:tcPr>
          <w:p>
            <w:pPr>
              <w:jc w:val="center"/>
            </w:pPr>
            <w:r>
              <w:rPr>
                <w:sz w:val="21"/>
              </w:rPr>
              <w:t>项</w:t>
            </w:r>
          </w:p>
        </w:tc>
        <w:tc>
          <w:tcPr>
            <w:tcW w:type="dxa" w:w="1009"/>
            <w:tcBorders>
              <w:top w:val="none" w:color="000000" w:sz="4"/>
              <w:left w:val="single" w:color="000000" w:sz="4"/>
              <w:bottom w:val="single" w:color="000000" w:sz="4"/>
              <w:right w:val="single" w:color="000000" w:sz="4"/>
            </w:tcBorders>
            <w:vAlign w:val="top"/>
          </w:tcPr>
          <w:p>
            <w:pPr>
              <w:jc w:val="center"/>
            </w:pPr>
            <w:r>
              <w:rPr>
                <w:sz w:val="21"/>
              </w:rPr>
              <w:t>1</w:t>
            </w:r>
          </w:p>
        </w:tc>
        <w:tc>
          <w:tcPr>
            <w:tcW w:type="dxa" w:w="944"/>
            <w:tcBorders>
              <w:top w:val="none" w:color="000000" w:sz="4"/>
              <w:left w:val="single" w:color="000000" w:sz="4"/>
              <w:bottom w:val="single" w:color="000000" w:sz="4"/>
              <w:right w:val="single" w:color="000000" w:sz="4"/>
            </w:tcBorders>
            <w:vAlign w:val="top"/>
          </w:tcPr>
          <w:p>
            <w:pPr>
              <w:jc w:val="center"/>
            </w:pPr>
            <w:r>
              <w:rPr>
                <w:sz w:val="21"/>
              </w:rPr>
              <w:t>/</w:t>
            </w:r>
          </w:p>
        </w:tc>
      </w:tr>
      <w:tr>
        <w:tc>
          <w:tcPr>
            <w:tcW w:type="dxa" w:w="901"/>
            <w:vMerge/>
            <w:tcBorders>
              <w:top w:val="none" w:color="000000" w:sz="4"/>
              <w:left w:val="single" w:color="000000" w:sz="4"/>
              <w:bottom w:val="single" w:color="000000" w:sz="4"/>
              <w:right w:val="single" w:color="000000" w:sz="4"/>
            </w:tcBorders>
          </w:tcPr>
          <w:p/>
        </w:tc>
        <w:tc>
          <w:tcPr>
            <w:tcW w:type="dxa" w:w="437"/>
            <w:tcBorders>
              <w:top w:val="none" w:color="000000" w:sz="4"/>
              <w:left w:val="single" w:color="000000" w:sz="4"/>
              <w:bottom w:val="single" w:color="000000" w:sz="4"/>
              <w:right w:val="single" w:color="000000" w:sz="4"/>
            </w:tcBorders>
            <w:vAlign w:val="top"/>
          </w:tcPr>
          <w:p>
            <w:pPr>
              <w:jc w:val="center"/>
            </w:pPr>
            <w:r>
              <w:rPr>
                <w:sz w:val="21"/>
              </w:rPr>
              <w:t>4</w:t>
            </w:r>
          </w:p>
        </w:tc>
        <w:tc>
          <w:tcPr>
            <w:tcW w:type="dxa" w:w="1521"/>
            <w:tcBorders>
              <w:top w:val="none" w:color="000000" w:sz="4"/>
              <w:left w:val="single" w:color="000000" w:sz="4"/>
              <w:bottom w:val="single" w:color="000000" w:sz="4"/>
              <w:right w:val="single" w:color="000000" w:sz="4"/>
            </w:tcBorders>
            <w:vAlign w:val="top"/>
          </w:tcPr>
          <w:p>
            <w:pPr>
              <w:jc w:val="center"/>
            </w:pPr>
            <w:r>
              <w:rPr>
                <w:sz w:val="21"/>
              </w:rPr>
              <w:t>自主举证</w:t>
            </w:r>
          </w:p>
        </w:tc>
        <w:tc>
          <w:tcPr>
            <w:tcW w:type="dxa" w:w="1009"/>
            <w:tcBorders>
              <w:top w:val="none" w:color="000000" w:sz="4"/>
              <w:left w:val="single" w:color="000000" w:sz="4"/>
              <w:bottom w:val="single" w:color="000000" w:sz="4"/>
              <w:right w:val="single" w:color="000000" w:sz="4"/>
            </w:tcBorders>
            <w:vAlign w:val="top"/>
          </w:tcPr>
          <w:p>
            <w:pPr>
              <w:jc w:val="center"/>
            </w:pPr>
            <w:r>
              <w:rPr>
                <w:sz w:val="21"/>
              </w:rPr>
              <w:t>个</w:t>
            </w:r>
          </w:p>
        </w:tc>
        <w:tc>
          <w:tcPr>
            <w:tcW w:type="dxa" w:w="1009"/>
            <w:tcBorders>
              <w:top w:val="none" w:color="000000" w:sz="4"/>
              <w:left w:val="single" w:color="000000" w:sz="4"/>
              <w:bottom w:val="single" w:color="000000" w:sz="4"/>
              <w:right w:val="single" w:color="000000" w:sz="4"/>
            </w:tcBorders>
            <w:vAlign w:val="top"/>
          </w:tcPr>
          <w:p>
            <w:pPr>
              <w:jc w:val="center"/>
            </w:pPr>
            <w:r>
              <w:rPr>
                <w:sz w:val="21"/>
              </w:rPr>
              <w:t>按需开展</w:t>
            </w:r>
          </w:p>
        </w:tc>
        <w:tc>
          <w:tcPr>
            <w:tcW w:type="dxa" w:w="944"/>
            <w:tcBorders>
              <w:top w:val="none" w:color="000000" w:sz="4"/>
              <w:left w:val="single" w:color="000000" w:sz="4"/>
              <w:bottom w:val="single" w:color="000000" w:sz="4"/>
              <w:right w:val="single" w:color="000000" w:sz="4"/>
            </w:tcBorders>
            <w:vAlign w:val="top"/>
          </w:tcPr>
          <w:p>
            <w:pPr>
              <w:jc w:val="center"/>
            </w:pPr>
            <w:r>
              <w:rPr>
                <w:sz w:val="21"/>
              </w:rPr>
              <w:t>/</w:t>
            </w:r>
          </w:p>
        </w:tc>
      </w:tr>
      <w:tr>
        <w:tc>
          <w:tcPr>
            <w:tcW w:type="dxa" w:w="901"/>
            <w:vMerge/>
            <w:tcBorders>
              <w:top w:val="none" w:color="000000" w:sz="4"/>
              <w:left w:val="single" w:color="000000" w:sz="4"/>
              <w:bottom w:val="single" w:color="000000" w:sz="4"/>
              <w:right w:val="single" w:color="000000" w:sz="4"/>
            </w:tcBorders>
          </w:tcPr>
          <w:p/>
        </w:tc>
        <w:tc>
          <w:tcPr>
            <w:tcW w:type="dxa" w:w="437"/>
            <w:tcBorders>
              <w:top w:val="none" w:color="000000" w:sz="4"/>
              <w:left w:val="single" w:color="000000" w:sz="4"/>
              <w:bottom w:val="single" w:color="000000" w:sz="4"/>
              <w:right w:val="single" w:color="000000" w:sz="4"/>
            </w:tcBorders>
            <w:vAlign w:val="top"/>
          </w:tcPr>
          <w:p>
            <w:pPr>
              <w:jc w:val="center"/>
            </w:pPr>
            <w:r>
              <w:rPr>
                <w:sz w:val="21"/>
              </w:rPr>
              <w:t>5</w:t>
            </w:r>
          </w:p>
        </w:tc>
        <w:tc>
          <w:tcPr>
            <w:tcW w:type="dxa" w:w="1521"/>
            <w:tcBorders>
              <w:top w:val="none" w:color="000000" w:sz="4"/>
              <w:left w:val="single" w:color="000000" w:sz="4"/>
              <w:bottom w:val="single" w:color="000000" w:sz="4"/>
              <w:right w:val="single" w:color="000000" w:sz="4"/>
            </w:tcBorders>
            <w:vAlign w:val="top"/>
          </w:tcPr>
          <w:p>
            <w:pPr>
              <w:jc w:val="center"/>
            </w:pPr>
            <w:r>
              <w:rPr>
                <w:sz w:val="21"/>
              </w:rPr>
              <w:t>常态化监测成果应用</w:t>
            </w:r>
          </w:p>
        </w:tc>
        <w:tc>
          <w:tcPr>
            <w:tcW w:type="dxa" w:w="1009"/>
            <w:tcBorders>
              <w:top w:val="none" w:color="000000" w:sz="4"/>
              <w:left w:val="single" w:color="000000" w:sz="4"/>
              <w:bottom w:val="single" w:color="000000" w:sz="4"/>
              <w:right w:val="single" w:color="000000" w:sz="4"/>
            </w:tcBorders>
            <w:vAlign w:val="top"/>
          </w:tcPr>
          <w:p>
            <w:pPr>
              <w:jc w:val="center"/>
            </w:pPr>
            <w:r>
              <w:rPr>
                <w:sz w:val="21"/>
              </w:rPr>
              <w:t>幅</w:t>
            </w:r>
          </w:p>
        </w:tc>
        <w:tc>
          <w:tcPr>
            <w:tcW w:type="dxa" w:w="1009"/>
            <w:tcBorders>
              <w:top w:val="none" w:color="000000" w:sz="4"/>
              <w:left w:val="single" w:color="000000" w:sz="4"/>
              <w:bottom w:val="single" w:color="000000" w:sz="4"/>
              <w:right w:val="single" w:color="000000" w:sz="4"/>
            </w:tcBorders>
            <w:vAlign w:val="top"/>
          </w:tcPr>
          <w:p>
            <w:pPr>
              <w:jc w:val="center"/>
            </w:pPr>
            <w:r>
              <w:rPr>
                <w:sz w:val="21"/>
              </w:rPr>
              <w:t>按需开展</w:t>
            </w:r>
          </w:p>
        </w:tc>
        <w:tc>
          <w:tcPr>
            <w:tcW w:type="dxa" w:w="944"/>
            <w:tcBorders>
              <w:top w:val="none" w:color="000000" w:sz="4"/>
              <w:left w:val="single" w:color="000000" w:sz="4"/>
              <w:bottom w:val="single" w:color="000000" w:sz="4"/>
              <w:right w:val="single" w:color="000000" w:sz="4"/>
            </w:tcBorders>
            <w:vAlign w:val="top"/>
          </w:tcPr>
          <w:p>
            <w:pPr>
              <w:jc w:val="center"/>
            </w:pPr>
            <w:r>
              <w:rPr>
                <w:sz w:val="21"/>
              </w:rPr>
              <w:t>/</w:t>
            </w:r>
          </w:p>
        </w:tc>
      </w:tr>
      <w:tr>
        <w:tc>
          <w:tcPr>
            <w:tcW w:type="dxa" w:w="901"/>
            <w:vMerge/>
            <w:tcBorders>
              <w:top w:val="none" w:color="000000" w:sz="4"/>
              <w:left w:val="single" w:color="000000" w:sz="4"/>
              <w:bottom w:val="single" w:color="000000" w:sz="4"/>
              <w:right w:val="single" w:color="000000" w:sz="4"/>
            </w:tcBorders>
          </w:tcPr>
          <w:p/>
        </w:tc>
        <w:tc>
          <w:tcPr>
            <w:tcW w:type="dxa" w:w="437"/>
            <w:tcBorders>
              <w:top w:val="none" w:color="000000" w:sz="4"/>
              <w:left w:val="single" w:color="000000" w:sz="4"/>
              <w:bottom w:val="single" w:color="000000" w:sz="4"/>
              <w:right w:val="single" w:color="000000" w:sz="4"/>
            </w:tcBorders>
            <w:vAlign w:val="top"/>
          </w:tcPr>
          <w:p>
            <w:pPr>
              <w:jc w:val="center"/>
            </w:pPr>
            <w:r>
              <w:rPr>
                <w:sz w:val="21"/>
              </w:rPr>
              <w:t>6</w:t>
            </w:r>
          </w:p>
        </w:tc>
        <w:tc>
          <w:tcPr>
            <w:tcW w:type="dxa" w:w="1521"/>
            <w:tcBorders>
              <w:top w:val="none" w:color="000000" w:sz="4"/>
              <w:left w:val="single" w:color="000000" w:sz="4"/>
              <w:bottom w:val="single" w:color="000000" w:sz="4"/>
              <w:right w:val="single" w:color="000000" w:sz="4"/>
            </w:tcBorders>
            <w:vAlign w:val="top"/>
          </w:tcPr>
          <w:p>
            <w:pPr>
              <w:jc w:val="center"/>
            </w:pPr>
            <w:r>
              <w:rPr>
                <w:sz w:val="21"/>
              </w:rPr>
              <w:t>常态化监测成果应用</w:t>
            </w:r>
          </w:p>
        </w:tc>
        <w:tc>
          <w:tcPr>
            <w:tcW w:type="dxa" w:w="1009"/>
            <w:tcBorders>
              <w:top w:val="none" w:color="000000" w:sz="4"/>
              <w:left w:val="single" w:color="000000" w:sz="4"/>
              <w:bottom w:val="single" w:color="000000" w:sz="4"/>
              <w:right w:val="single" w:color="000000" w:sz="4"/>
            </w:tcBorders>
            <w:vAlign w:val="top"/>
          </w:tcPr>
          <w:p>
            <w:pPr>
              <w:jc w:val="center"/>
            </w:pPr>
            <w:r>
              <w:rPr>
                <w:sz w:val="21"/>
              </w:rPr>
              <w:t>项</w:t>
            </w:r>
          </w:p>
        </w:tc>
        <w:tc>
          <w:tcPr>
            <w:tcW w:type="dxa" w:w="1009"/>
            <w:tcBorders>
              <w:top w:val="none" w:color="000000" w:sz="4"/>
              <w:left w:val="single" w:color="000000" w:sz="4"/>
              <w:bottom w:val="single" w:color="000000" w:sz="4"/>
              <w:right w:val="single" w:color="000000" w:sz="4"/>
            </w:tcBorders>
            <w:vAlign w:val="top"/>
          </w:tcPr>
          <w:p>
            <w:pPr>
              <w:jc w:val="center"/>
            </w:pPr>
            <w:r>
              <w:rPr>
                <w:sz w:val="21"/>
              </w:rPr>
              <w:t>按需开展</w:t>
            </w:r>
          </w:p>
        </w:tc>
        <w:tc>
          <w:tcPr>
            <w:tcW w:type="dxa" w:w="944"/>
            <w:tcBorders>
              <w:top w:val="none" w:color="000000" w:sz="4"/>
              <w:left w:val="single" w:color="000000" w:sz="4"/>
              <w:bottom w:val="single" w:color="000000" w:sz="4"/>
              <w:right w:val="single" w:color="000000" w:sz="4"/>
            </w:tcBorders>
            <w:vAlign w:val="top"/>
          </w:tcPr>
          <w:p>
            <w:pPr>
              <w:jc w:val="center"/>
            </w:pPr>
            <w:r>
              <w:rPr>
                <w:sz w:val="21"/>
              </w:rPr>
              <w:t>/</w:t>
            </w:r>
          </w:p>
        </w:tc>
      </w:tr>
      <w:tr>
        <w:tc>
          <w:tcPr>
            <w:tcW w:type="dxa" w:w="901"/>
            <w:vMerge/>
            <w:tcBorders>
              <w:top w:val="none" w:color="000000" w:sz="4"/>
              <w:left w:val="single" w:color="000000" w:sz="4"/>
              <w:bottom w:val="single" w:color="000000" w:sz="4"/>
              <w:right w:val="single" w:color="000000" w:sz="4"/>
            </w:tcBorders>
          </w:tcPr>
          <w:p/>
        </w:tc>
        <w:tc>
          <w:tcPr>
            <w:tcW w:type="dxa" w:w="4920"/>
            <w:gridSpan w:val="5"/>
            <w:tcBorders>
              <w:top w:val="none" w:color="000000" w:sz="4"/>
              <w:left w:val="single" w:color="000000" w:sz="4"/>
              <w:bottom w:val="single" w:color="000000" w:sz="4"/>
              <w:right w:val="single" w:color="000000" w:sz="4"/>
            </w:tcBorders>
            <w:vAlign w:val="top"/>
          </w:tcPr>
          <w:p>
            <w:pPr>
              <w:jc w:val="center"/>
            </w:pPr>
            <w:r>
              <w:rPr>
                <w:b/>
                <w:sz w:val="21"/>
              </w:rPr>
              <w:t>小计</w:t>
            </w:r>
            <w:r>
              <w:rPr>
                <w:b/>
                <w:sz w:val="21"/>
              </w:rPr>
              <w:t>1</w:t>
            </w:r>
          </w:p>
        </w:tc>
        <w:tc>
          <w:tcPr>
            <w:tcW w:type="dxa" w:w="2485"/>
            <w:tcBorders>
              <w:top w:val="none" w:color="000000" w:sz="4"/>
              <w:left w:val="single" w:color="000000" w:sz="4"/>
              <w:bottom w:val="single" w:color="000000" w:sz="4"/>
              <w:right w:val="single" w:color="000000" w:sz="4"/>
            </w:tcBorders>
            <w:vAlign w:val="top"/>
          </w:tcPr>
          <w:p>
            <w:pPr>
              <w:jc w:val="center"/>
            </w:pPr>
            <w:r>
              <w:rPr>
                <w:b/>
                <w:sz w:val="21"/>
                <w:u w:val="single"/>
              </w:rPr>
              <w:t xml:space="preserve">       </w:t>
            </w:r>
            <w:r>
              <w:rPr>
                <w:b/>
                <w:sz w:val="21"/>
              </w:rPr>
              <w:t>元</w:t>
            </w:r>
          </w:p>
        </w:tc>
      </w:tr>
      <w:tr>
        <w:tc>
          <w:tcPr>
            <w:tcW w:type="dxa" w:w="901"/>
            <w:vMerge w:val="restart"/>
            <w:tcBorders>
              <w:top w:val="none" w:color="000000" w:sz="4"/>
              <w:left w:val="single" w:color="000000" w:sz="4"/>
              <w:bottom w:val="single" w:color="000000" w:sz="4"/>
              <w:right w:val="single" w:color="000000" w:sz="4"/>
            </w:tcBorders>
            <w:vAlign w:val="top"/>
          </w:tcPr>
          <w:p>
            <w:pPr>
              <w:jc w:val="center"/>
            </w:pPr>
            <w:r>
              <w:rPr>
                <w:b/>
                <w:sz w:val="21"/>
              </w:rPr>
              <w:t>新兴县</w:t>
            </w:r>
            <w:r>
              <w:rPr>
                <w:b/>
                <w:sz w:val="21"/>
              </w:rPr>
              <w:t>2023年度全国国土变更调查</w:t>
            </w:r>
          </w:p>
        </w:tc>
        <w:tc>
          <w:tcPr>
            <w:tcW w:type="dxa" w:w="437"/>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521"/>
            <w:tcBorders>
              <w:top w:val="none" w:color="000000" w:sz="4"/>
              <w:left w:val="single" w:color="000000" w:sz="4"/>
              <w:bottom w:val="single" w:color="000000" w:sz="4"/>
              <w:right w:val="single" w:color="000000" w:sz="4"/>
            </w:tcBorders>
            <w:vAlign w:val="top"/>
          </w:tcPr>
          <w:p>
            <w:pPr>
              <w:jc w:val="center"/>
            </w:pPr>
            <w:r>
              <w:rPr>
                <w:sz w:val="21"/>
              </w:rPr>
              <w:t>资料收集、底图制作</w:t>
            </w:r>
          </w:p>
        </w:tc>
        <w:tc>
          <w:tcPr>
            <w:tcW w:type="dxa" w:w="1009"/>
            <w:tcBorders>
              <w:top w:val="single" w:color="000000" w:sz="4"/>
              <w:left w:val="single" w:color="000000" w:sz="4"/>
              <w:bottom w:val="single" w:color="000000" w:sz="4"/>
              <w:right w:val="single" w:color="000000" w:sz="4"/>
            </w:tcBorders>
            <w:vAlign w:val="top"/>
          </w:tcPr>
          <w:p>
            <w:pPr>
              <w:jc w:val="center"/>
            </w:pPr>
            <w:r>
              <w:rPr>
                <w:sz w:val="21"/>
              </w:rPr>
              <w:t>项</w:t>
            </w:r>
          </w:p>
        </w:tc>
        <w:tc>
          <w:tcPr>
            <w:tcW w:type="dxa" w:w="1009"/>
            <w:tcBorders>
              <w:top w:val="single" w:color="000000" w:sz="4"/>
              <w:left w:val="single" w:color="000000" w:sz="4"/>
              <w:bottom w:val="single" w:color="000000" w:sz="4"/>
              <w:right w:val="single" w:color="000000" w:sz="4"/>
            </w:tcBorders>
            <w:vAlign w:val="top"/>
          </w:tcPr>
          <w:p>
            <w:pPr>
              <w:jc w:val="center"/>
            </w:pPr>
            <w:r>
              <w:rPr>
                <w:sz w:val="21"/>
              </w:rPr>
              <w:t>1</w:t>
            </w:r>
          </w:p>
        </w:tc>
        <w:tc>
          <w:tcPr>
            <w:tcW w:type="dxa" w:w="944"/>
            <w:tcBorders>
              <w:top w:val="single" w:color="000000" w:sz="4"/>
              <w:left w:val="single" w:color="000000" w:sz="4"/>
              <w:bottom w:val="single" w:color="000000" w:sz="4"/>
              <w:right w:val="single" w:color="000000" w:sz="4"/>
            </w:tcBorders>
            <w:vAlign w:val="top"/>
          </w:tcPr>
          <w:p>
            <w:pPr>
              <w:jc w:val="center"/>
            </w:pPr>
            <w:r>
              <w:rPr>
                <w:sz w:val="21"/>
              </w:rPr>
              <w:t>/</w:t>
            </w:r>
          </w:p>
        </w:tc>
        <w:tc>
          <w:tcPr>
            <w:tcW w:type="dxa" w:w="2485"/>
            <w:tcBorders>
              <w:top w:val="single" w:color="000000" w:sz="4"/>
              <w:left w:val="single" w:color="000000" w:sz="4"/>
              <w:bottom w:val="single" w:color="000000" w:sz="4"/>
              <w:right w:val="single" w:color="000000" w:sz="4"/>
            </w:tcBorders>
            <w:vAlign w:val="top"/>
          </w:tcPr>
          <w:p>
            <w:pPr>
              <w:jc w:val="center"/>
            </w:pPr>
            <w:r>
              <w:rPr>
                <w:sz w:val="21"/>
              </w:rPr>
              <w:t>/</w:t>
            </w:r>
          </w:p>
        </w:tc>
      </w:tr>
      <w:tr>
        <w:tc>
          <w:tcPr>
            <w:tcW w:type="dxa" w:w="901"/>
            <w:vMerge/>
            <w:tcBorders>
              <w:top w:val="none" w:color="000000" w:sz="4"/>
              <w:left w:val="single" w:color="000000" w:sz="4"/>
              <w:bottom w:val="single" w:color="000000" w:sz="4"/>
              <w:right w:val="single" w:color="000000" w:sz="4"/>
            </w:tcBorders>
          </w:tcPr>
          <w:p/>
        </w:tc>
        <w:tc>
          <w:tcPr>
            <w:tcW w:type="dxa" w:w="437"/>
            <w:tcBorders>
              <w:top w:val="none" w:color="000000" w:sz="4"/>
              <w:left w:val="single" w:color="000000" w:sz="4"/>
              <w:bottom w:val="single" w:color="000000" w:sz="4"/>
              <w:right w:val="single" w:color="000000" w:sz="4"/>
            </w:tcBorders>
            <w:vAlign w:val="top"/>
          </w:tcPr>
          <w:p>
            <w:pPr>
              <w:jc w:val="center"/>
            </w:pPr>
            <w:r>
              <w:rPr>
                <w:sz w:val="21"/>
              </w:rPr>
              <w:t>2</w:t>
            </w:r>
          </w:p>
        </w:tc>
        <w:tc>
          <w:tcPr>
            <w:tcW w:type="dxa" w:w="1521"/>
            <w:tcBorders>
              <w:top w:val="none" w:color="000000" w:sz="4"/>
              <w:left w:val="single" w:color="000000" w:sz="4"/>
              <w:bottom w:val="single" w:color="000000" w:sz="4"/>
              <w:right w:val="single" w:color="000000" w:sz="4"/>
            </w:tcBorders>
            <w:vAlign w:val="top"/>
          </w:tcPr>
          <w:p>
            <w:pPr>
              <w:jc w:val="center"/>
            </w:pPr>
            <w:r>
              <w:rPr>
                <w:sz w:val="21"/>
              </w:rPr>
              <w:t>外业调查、实地举证</w:t>
            </w:r>
          </w:p>
        </w:tc>
        <w:tc>
          <w:tcPr>
            <w:tcW w:type="dxa" w:w="1009"/>
            <w:tcBorders>
              <w:top w:val="none" w:color="000000" w:sz="4"/>
              <w:left w:val="single" w:color="000000" w:sz="4"/>
              <w:bottom w:val="single" w:color="000000" w:sz="4"/>
              <w:right w:val="single" w:color="000000" w:sz="4"/>
            </w:tcBorders>
            <w:vAlign w:val="top"/>
          </w:tcPr>
          <w:p>
            <w:pPr>
              <w:jc w:val="center"/>
            </w:pPr>
            <w:r>
              <w:rPr>
                <w:sz w:val="21"/>
              </w:rPr>
              <w:t>个（图斑）</w:t>
            </w:r>
          </w:p>
        </w:tc>
        <w:tc>
          <w:tcPr>
            <w:tcW w:type="dxa" w:w="1009"/>
            <w:tcBorders>
              <w:top w:val="none" w:color="000000" w:sz="4"/>
              <w:left w:val="single" w:color="000000" w:sz="4"/>
              <w:bottom w:val="single" w:color="000000" w:sz="4"/>
              <w:right w:val="single" w:color="000000" w:sz="4"/>
            </w:tcBorders>
            <w:vAlign w:val="top"/>
          </w:tcPr>
          <w:p>
            <w:pPr>
              <w:jc w:val="center"/>
            </w:pPr>
            <w:r>
              <w:rPr>
                <w:sz w:val="21"/>
              </w:rPr>
              <w:t>预估数：</w:t>
            </w:r>
            <w:r>
              <w:rPr>
                <w:sz w:val="21"/>
              </w:rPr>
              <w:t>2320</w:t>
            </w:r>
          </w:p>
        </w:tc>
        <w:tc>
          <w:tcPr>
            <w:tcW w:type="dxa" w:w="944"/>
            <w:tcBorders>
              <w:top w:val="none" w:color="000000" w:sz="4"/>
              <w:left w:val="single" w:color="000000" w:sz="4"/>
              <w:bottom w:val="single" w:color="000000" w:sz="4"/>
              <w:right w:val="single" w:color="000000" w:sz="4"/>
            </w:tcBorders>
            <w:vAlign w:val="top"/>
          </w:tcPr>
          <w:p>
            <w:pPr>
              <w:jc w:val="center"/>
            </w:pPr>
            <w:r>
              <w:rPr>
                <w:sz w:val="21"/>
                <w:u w:val="single"/>
              </w:rPr>
              <w:t xml:space="preserve">   </w:t>
            </w:r>
            <w:r>
              <w:rPr>
                <w:sz w:val="21"/>
              </w:rPr>
              <w:t>元</w:t>
            </w:r>
            <w:r>
              <w:rPr>
                <w:sz w:val="21"/>
              </w:rPr>
              <w:t>/个</w:t>
            </w:r>
          </w:p>
        </w:tc>
        <w:tc>
          <w:tcPr>
            <w:tcW w:type="dxa" w:w="2485"/>
            <w:tcBorders>
              <w:top w:val="none" w:color="000000" w:sz="4"/>
              <w:left w:val="single" w:color="000000" w:sz="4"/>
              <w:bottom w:val="single" w:color="000000" w:sz="4"/>
              <w:right w:val="single" w:color="000000" w:sz="4"/>
            </w:tcBorders>
            <w:vAlign w:val="top"/>
          </w:tcPr>
          <w:p>
            <w:pPr>
              <w:jc w:val="center"/>
            </w:pPr>
            <w:r>
              <w:rPr>
                <w:sz w:val="21"/>
                <w:u w:val="single"/>
              </w:rPr>
              <w:t xml:space="preserve">       </w:t>
            </w:r>
            <w:r>
              <w:rPr>
                <w:sz w:val="21"/>
              </w:rPr>
              <w:t>元</w:t>
            </w:r>
          </w:p>
        </w:tc>
      </w:tr>
      <w:tr>
        <w:tc>
          <w:tcPr>
            <w:tcW w:type="dxa" w:w="901"/>
            <w:vMerge/>
            <w:tcBorders>
              <w:top w:val="none" w:color="000000" w:sz="4"/>
              <w:left w:val="single" w:color="000000" w:sz="4"/>
              <w:bottom w:val="single" w:color="000000" w:sz="4"/>
              <w:right w:val="single" w:color="000000" w:sz="4"/>
            </w:tcBorders>
          </w:tcPr>
          <w:p/>
        </w:tc>
        <w:tc>
          <w:tcPr>
            <w:tcW w:type="dxa" w:w="437"/>
            <w:tcBorders>
              <w:top w:val="none" w:color="000000" w:sz="4"/>
              <w:left w:val="single" w:color="000000" w:sz="4"/>
              <w:bottom w:val="single" w:color="000000" w:sz="4"/>
              <w:right w:val="single" w:color="000000" w:sz="4"/>
            </w:tcBorders>
            <w:vAlign w:val="top"/>
          </w:tcPr>
          <w:p>
            <w:pPr>
              <w:jc w:val="center"/>
            </w:pPr>
            <w:r>
              <w:rPr>
                <w:sz w:val="21"/>
              </w:rPr>
              <w:t>3</w:t>
            </w:r>
          </w:p>
        </w:tc>
        <w:tc>
          <w:tcPr>
            <w:tcW w:type="dxa" w:w="1521"/>
            <w:tcBorders>
              <w:top w:val="none" w:color="000000" w:sz="4"/>
              <w:left w:val="single" w:color="000000" w:sz="4"/>
              <w:bottom w:val="single" w:color="000000" w:sz="4"/>
              <w:right w:val="single" w:color="000000" w:sz="4"/>
            </w:tcBorders>
            <w:vAlign w:val="top"/>
          </w:tcPr>
          <w:p>
            <w:pPr>
              <w:jc w:val="center"/>
            </w:pPr>
            <w:r>
              <w:rPr>
                <w:sz w:val="21"/>
              </w:rPr>
              <w:t>调查成果分析、统计</w:t>
            </w:r>
          </w:p>
        </w:tc>
        <w:tc>
          <w:tcPr>
            <w:tcW w:type="dxa" w:w="1009"/>
            <w:tcBorders>
              <w:top w:val="none" w:color="000000" w:sz="4"/>
              <w:left w:val="single" w:color="000000" w:sz="4"/>
              <w:bottom w:val="single" w:color="000000" w:sz="4"/>
              <w:right w:val="single" w:color="000000" w:sz="4"/>
            </w:tcBorders>
            <w:vAlign w:val="top"/>
          </w:tcPr>
          <w:p>
            <w:pPr>
              <w:jc w:val="center"/>
            </w:pPr>
            <w:r>
              <w:rPr>
                <w:sz w:val="21"/>
              </w:rPr>
              <w:t>项</w:t>
            </w:r>
          </w:p>
        </w:tc>
        <w:tc>
          <w:tcPr>
            <w:tcW w:type="dxa" w:w="1009"/>
            <w:tcBorders>
              <w:top w:val="none" w:color="000000" w:sz="4"/>
              <w:left w:val="single" w:color="000000" w:sz="4"/>
              <w:bottom w:val="single" w:color="000000" w:sz="4"/>
              <w:right w:val="single" w:color="000000" w:sz="4"/>
            </w:tcBorders>
            <w:vAlign w:val="top"/>
          </w:tcPr>
          <w:p>
            <w:pPr>
              <w:jc w:val="center"/>
            </w:pPr>
            <w:r>
              <w:rPr>
                <w:sz w:val="21"/>
              </w:rPr>
              <w:t>1</w:t>
            </w:r>
          </w:p>
        </w:tc>
        <w:tc>
          <w:tcPr>
            <w:tcW w:type="dxa" w:w="944"/>
            <w:tcBorders>
              <w:top w:val="none" w:color="000000" w:sz="4"/>
              <w:left w:val="single" w:color="000000" w:sz="4"/>
              <w:bottom w:val="single" w:color="000000" w:sz="4"/>
              <w:right w:val="single" w:color="000000" w:sz="4"/>
            </w:tcBorders>
            <w:vAlign w:val="top"/>
          </w:tcPr>
          <w:p>
            <w:pPr>
              <w:jc w:val="center"/>
            </w:pPr>
            <w:r>
              <w:rPr>
                <w:sz w:val="21"/>
              </w:rPr>
              <w:t>/</w:t>
            </w:r>
          </w:p>
        </w:tc>
        <w:tc>
          <w:tcPr>
            <w:tcW w:type="dxa" w:w="2485"/>
            <w:vMerge w:val="restart"/>
            <w:tcBorders>
              <w:top w:val="none" w:color="000000" w:sz="4"/>
              <w:left w:val="single" w:color="000000" w:sz="4"/>
              <w:bottom w:val="single" w:color="000000" w:sz="4"/>
              <w:right w:val="single" w:color="000000" w:sz="4"/>
            </w:tcBorders>
            <w:vAlign w:val="top"/>
          </w:tcPr>
          <w:p>
            <w:pPr>
              <w:jc w:val="center"/>
            </w:pPr>
            <w:r>
              <w:rPr>
                <w:sz w:val="21"/>
                <w:u w:val="single"/>
              </w:rPr>
              <w:t xml:space="preserve">       </w:t>
            </w:r>
            <w:r>
              <w:rPr>
                <w:sz w:val="21"/>
              </w:rPr>
              <w:t>元</w:t>
            </w:r>
          </w:p>
          <w:p>
            <w:pPr>
              <w:jc w:val="center"/>
            </w:pPr>
            <w:r>
              <w:rPr>
                <w:sz w:val="21"/>
              </w:rPr>
              <w:t>（包含</w:t>
            </w:r>
            <w:r>
              <w:rPr>
                <w:sz w:val="21"/>
              </w:rPr>
              <w:t>“资料收集、底图制作”工作项的</w:t>
            </w:r>
            <w:r>
              <w:rPr>
                <w:sz w:val="21"/>
              </w:rPr>
              <w:t>价格</w:t>
            </w:r>
            <w:r>
              <w:rPr>
                <w:sz w:val="21"/>
              </w:rPr>
              <w:t>）</w:t>
            </w:r>
          </w:p>
        </w:tc>
      </w:tr>
      <w:tr>
        <w:tc>
          <w:tcPr>
            <w:tcW w:type="dxa" w:w="901"/>
            <w:vMerge/>
            <w:tcBorders>
              <w:top w:val="none" w:color="000000" w:sz="4"/>
              <w:left w:val="single" w:color="000000" w:sz="4"/>
              <w:bottom w:val="single" w:color="000000" w:sz="4"/>
              <w:right w:val="single" w:color="000000" w:sz="4"/>
            </w:tcBorders>
          </w:tcPr>
          <w:p/>
        </w:tc>
        <w:tc>
          <w:tcPr>
            <w:tcW w:type="dxa" w:w="437"/>
            <w:tcBorders>
              <w:top w:val="none" w:color="000000" w:sz="4"/>
              <w:left w:val="single" w:color="000000" w:sz="4"/>
              <w:bottom w:val="single" w:color="000000" w:sz="4"/>
              <w:right w:val="single" w:color="000000" w:sz="4"/>
            </w:tcBorders>
            <w:vAlign w:val="top"/>
          </w:tcPr>
          <w:p>
            <w:pPr>
              <w:jc w:val="center"/>
            </w:pPr>
            <w:r>
              <w:rPr>
                <w:sz w:val="21"/>
              </w:rPr>
              <w:t>4</w:t>
            </w:r>
          </w:p>
        </w:tc>
        <w:tc>
          <w:tcPr>
            <w:tcW w:type="dxa" w:w="1521"/>
            <w:tcBorders>
              <w:top w:val="none" w:color="000000" w:sz="4"/>
              <w:left w:val="single" w:color="000000" w:sz="4"/>
              <w:bottom w:val="single" w:color="000000" w:sz="4"/>
              <w:right w:val="single" w:color="000000" w:sz="4"/>
            </w:tcBorders>
            <w:vAlign w:val="top"/>
          </w:tcPr>
          <w:p>
            <w:pPr>
              <w:jc w:val="center"/>
            </w:pPr>
            <w:r>
              <w:rPr>
                <w:sz w:val="21"/>
              </w:rPr>
              <w:t>资料整理及上报</w:t>
            </w:r>
          </w:p>
        </w:tc>
        <w:tc>
          <w:tcPr>
            <w:tcW w:type="dxa" w:w="1009"/>
            <w:tcBorders>
              <w:top w:val="none" w:color="000000" w:sz="4"/>
              <w:left w:val="single" w:color="000000" w:sz="4"/>
              <w:bottom w:val="single" w:color="000000" w:sz="4"/>
              <w:right w:val="single" w:color="000000" w:sz="4"/>
            </w:tcBorders>
            <w:vAlign w:val="top"/>
          </w:tcPr>
          <w:p>
            <w:pPr>
              <w:jc w:val="center"/>
            </w:pPr>
            <w:r>
              <w:rPr>
                <w:sz w:val="21"/>
              </w:rPr>
              <w:t>项</w:t>
            </w:r>
          </w:p>
        </w:tc>
        <w:tc>
          <w:tcPr>
            <w:tcW w:type="dxa" w:w="1009"/>
            <w:tcBorders>
              <w:top w:val="none" w:color="000000" w:sz="4"/>
              <w:left w:val="single" w:color="000000" w:sz="4"/>
              <w:bottom w:val="single" w:color="000000" w:sz="4"/>
              <w:right w:val="single" w:color="000000" w:sz="4"/>
            </w:tcBorders>
            <w:vAlign w:val="top"/>
          </w:tcPr>
          <w:p>
            <w:pPr>
              <w:jc w:val="center"/>
            </w:pPr>
            <w:r>
              <w:rPr>
                <w:sz w:val="21"/>
              </w:rPr>
              <w:t>1</w:t>
            </w:r>
          </w:p>
        </w:tc>
        <w:tc>
          <w:tcPr>
            <w:tcW w:type="dxa" w:w="944"/>
            <w:tcBorders>
              <w:top w:val="none" w:color="000000" w:sz="4"/>
              <w:left w:val="single" w:color="000000" w:sz="4"/>
              <w:bottom w:val="single" w:color="000000" w:sz="4"/>
              <w:right w:val="single" w:color="000000" w:sz="4"/>
            </w:tcBorders>
            <w:vAlign w:val="top"/>
          </w:tcPr>
          <w:p>
            <w:pPr>
              <w:jc w:val="center"/>
            </w:pPr>
            <w:r>
              <w:rPr>
                <w:sz w:val="21"/>
              </w:rPr>
              <w:t>/</w:t>
            </w:r>
          </w:p>
        </w:tc>
      </w:tr>
      <w:tr>
        <w:tc>
          <w:tcPr>
            <w:tcW w:type="dxa" w:w="901"/>
            <w:vMerge/>
            <w:tcBorders>
              <w:top w:val="none" w:color="000000" w:sz="4"/>
              <w:left w:val="single" w:color="000000" w:sz="4"/>
              <w:bottom w:val="single" w:color="000000" w:sz="4"/>
              <w:right w:val="single" w:color="000000" w:sz="4"/>
            </w:tcBorders>
          </w:tcPr>
          <w:p/>
        </w:tc>
        <w:tc>
          <w:tcPr>
            <w:tcW w:type="dxa" w:w="437"/>
            <w:tcBorders>
              <w:top w:val="none" w:color="000000" w:sz="4"/>
              <w:left w:val="single" w:color="000000" w:sz="4"/>
              <w:bottom w:val="single" w:color="000000" w:sz="4"/>
              <w:right w:val="single" w:color="000000" w:sz="4"/>
            </w:tcBorders>
            <w:vAlign w:val="top"/>
          </w:tcPr>
          <w:p>
            <w:pPr>
              <w:jc w:val="center"/>
            </w:pPr>
            <w:r>
              <w:rPr>
                <w:sz w:val="21"/>
              </w:rPr>
              <w:t>5</w:t>
            </w:r>
          </w:p>
        </w:tc>
        <w:tc>
          <w:tcPr>
            <w:tcW w:type="dxa" w:w="1521"/>
            <w:tcBorders>
              <w:top w:val="none" w:color="000000" w:sz="4"/>
              <w:left w:val="single" w:color="000000" w:sz="4"/>
              <w:bottom w:val="single" w:color="000000" w:sz="4"/>
              <w:right w:val="single" w:color="000000" w:sz="4"/>
            </w:tcBorders>
            <w:vAlign w:val="top"/>
          </w:tcPr>
          <w:p>
            <w:pPr>
              <w:jc w:val="center"/>
            </w:pPr>
            <w:r>
              <w:rPr>
                <w:sz w:val="21"/>
              </w:rPr>
              <w:t>数据处理</w:t>
            </w:r>
          </w:p>
        </w:tc>
        <w:tc>
          <w:tcPr>
            <w:tcW w:type="dxa" w:w="1009"/>
            <w:tcBorders>
              <w:top w:val="none" w:color="000000" w:sz="4"/>
              <w:left w:val="single" w:color="000000" w:sz="4"/>
              <w:bottom w:val="single" w:color="000000" w:sz="4"/>
              <w:right w:val="single" w:color="000000" w:sz="4"/>
            </w:tcBorders>
            <w:vAlign w:val="top"/>
          </w:tcPr>
          <w:p>
            <w:pPr>
              <w:jc w:val="center"/>
            </w:pPr>
            <w:r>
              <w:rPr>
                <w:sz w:val="21"/>
              </w:rPr>
              <w:t>项</w:t>
            </w:r>
          </w:p>
        </w:tc>
        <w:tc>
          <w:tcPr>
            <w:tcW w:type="dxa" w:w="1009"/>
            <w:tcBorders>
              <w:top w:val="none" w:color="000000" w:sz="4"/>
              <w:left w:val="single" w:color="000000" w:sz="4"/>
              <w:bottom w:val="single" w:color="000000" w:sz="4"/>
              <w:right w:val="single" w:color="000000" w:sz="4"/>
            </w:tcBorders>
            <w:vAlign w:val="top"/>
          </w:tcPr>
          <w:p>
            <w:pPr>
              <w:jc w:val="center"/>
            </w:pPr>
            <w:r>
              <w:rPr>
                <w:sz w:val="21"/>
              </w:rPr>
              <w:t>1</w:t>
            </w:r>
          </w:p>
        </w:tc>
        <w:tc>
          <w:tcPr>
            <w:tcW w:type="dxa" w:w="944"/>
            <w:tcBorders>
              <w:top w:val="none" w:color="000000" w:sz="4"/>
              <w:left w:val="single" w:color="000000" w:sz="4"/>
              <w:bottom w:val="single" w:color="000000" w:sz="4"/>
              <w:right w:val="single" w:color="000000" w:sz="4"/>
            </w:tcBorders>
            <w:vAlign w:val="top"/>
          </w:tcPr>
          <w:p>
            <w:pPr>
              <w:jc w:val="center"/>
            </w:pPr>
            <w:r>
              <w:rPr>
                <w:sz w:val="21"/>
              </w:rPr>
              <w:t>/</w:t>
            </w:r>
          </w:p>
        </w:tc>
      </w:tr>
      <w:tr>
        <w:tc>
          <w:tcPr>
            <w:tcW w:type="dxa" w:w="901"/>
            <w:vMerge/>
            <w:tcBorders>
              <w:top w:val="none" w:color="000000" w:sz="4"/>
              <w:left w:val="single" w:color="000000" w:sz="4"/>
              <w:bottom w:val="single" w:color="000000" w:sz="4"/>
              <w:right w:val="single" w:color="000000" w:sz="4"/>
            </w:tcBorders>
          </w:tcPr>
          <w:p/>
        </w:tc>
        <w:tc>
          <w:tcPr>
            <w:tcW w:type="dxa" w:w="437"/>
            <w:tcBorders>
              <w:top w:val="none" w:color="000000" w:sz="4"/>
              <w:left w:val="single" w:color="000000" w:sz="4"/>
              <w:bottom w:val="single" w:color="000000" w:sz="4"/>
              <w:right w:val="single" w:color="000000" w:sz="4"/>
            </w:tcBorders>
            <w:vAlign w:val="top"/>
          </w:tcPr>
          <w:p>
            <w:pPr>
              <w:jc w:val="center"/>
            </w:pPr>
            <w:r>
              <w:rPr>
                <w:sz w:val="21"/>
              </w:rPr>
              <w:t>6</w:t>
            </w:r>
          </w:p>
        </w:tc>
        <w:tc>
          <w:tcPr>
            <w:tcW w:type="dxa" w:w="1521"/>
            <w:tcBorders>
              <w:top w:val="none" w:color="000000" w:sz="4"/>
              <w:left w:val="single" w:color="000000" w:sz="4"/>
              <w:bottom w:val="single" w:color="000000" w:sz="4"/>
              <w:right w:val="single" w:color="000000" w:sz="4"/>
            </w:tcBorders>
            <w:vAlign w:val="top"/>
          </w:tcPr>
          <w:p>
            <w:pPr>
              <w:jc w:val="center"/>
            </w:pPr>
            <w:r>
              <w:rPr>
                <w:sz w:val="21"/>
              </w:rPr>
              <w:t>增量数据生成</w:t>
            </w:r>
          </w:p>
        </w:tc>
        <w:tc>
          <w:tcPr>
            <w:tcW w:type="dxa" w:w="1009"/>
            <w:tcBorders>
              <w:top w:val="none" w:color="000000" w:sz="4"/>
              <w:left w:val="single" w:color="000000" w:sz="4"/>
              <w:bottom w:val="single" w:color="000000" w:sz="4"/>
              <w:right w:val="single" w:color="000000" w:sz="4"/>
            </w:tcBorders>
            <w:vAlign w:val="top"/>
          </w:tcPr>
          <w:p>
            <w:pPr>
              <w:jc w:val="center"/>
            </w:pPr>
            <w:r>
              <w:rPr>
                <w:sz w:val="21"/>
              </w:rPr>
              <w:t>项</w:t>
            </w:r>
          </w:p>
        </w:tc>
        <w:tc>
          <w:tcPr>
            <w:tcW w:type="dxa" w:w="1009"/>
            <w:tcBorders>
              <w:top w:val="none" w:color="000000" w:sz="4"/>
              <w:left w:val="single" w:color="000000" w:sz="4"/>
              <w:bottom w:val="single" w:color="000000" w:sz="4"/>
              <w:right w:val="single" w:color="000000" w:sz="4"/>
            </w:tcBorders>
            <w:vAlign w:val="top"/>
          </w:tcPr>
          <w:p>
            <w:pPr>
              <w:jc w:val="center"/>
            </w:pPr>
            <w:r>
              <w:rPr>
                <w:sz w:val="21"/>
              </w:rPr>
              <w:t>1</w:t>
            </w:r>
          </w:p>
        </w:tc>
        <w:tc>
          <w:tcPr>
            <w:tcW w:type="dxa" w:w="944"/>
            <w:tcBorders>
              <w:top w:val="none" w:color="000000" w:sz="4"/>
              <w:left w:val="single" w:color="000000" w:sz="4"/>
              <w:bottom w:val="single" w:color="000000" w:sz="4"/>
              <w:right w:val="single" w:color="000000" w:sz="4"/>
            </w:tcBorders>
            <w:vAlign w:val="top"/>
          </w:tcPr>
          <w:p>
            <w:pPr>
              <w:jc w:val="center"/>
            </w:pPr>
            <w:r>
              <w:rPr>
                <w:sz w:val="21"/>
              </w:rPr>
              <w:t>/</w:t>
            </w:r>
          </w:p>
        </w:tc>
      </w:tr>
      <w:tr>
        <w:tc>
          <w:tcPr>
            <w:tcW w:type="dxa" w:w="901"/>
            <w:vMerge/>
            <w:tcBorders>
              <w:top w:val="none" w:color="000000" w:sz="4"/>
              <w:left w:val="single" w:color="000000" w:sz="4"/>
              <w:bottom w:val="single" w:color="000000" w:sz="4"/>
              <w:right w:val="single" w:color="000000" w:sz="4"/>
            </w:tcBorders>
          </w:tcPr>
          <w:p/>
        </w:tc>
        <w:tc>
          <w:tcPr>
            <w:tcW w:type="dxa" w:w="437"/>
            <w:tcBorders>
              <w:top w:val="none" w:color="000000" w:sz="4"/>
              <w:left w:val="single" w:color="000000" w:sz="4"/>
              <w:bottom w:val="single" w:color="000000" w:sz="4"/>
              <w:right w:val="single" w:color="000000" w:sz="4"/>
            </w:tcBorders>
            <w:vAlign w:val="top"/>
          </w:tcPr>
          <w:p>
            <w:pPr>
              <w:jc w:val="center"/>
            </w:pPr>
            <w:r>
              <w:rPr>
                <w:sz w:val="21"/>
              </w:rPr>
              <w:t>7</w:t>
            </w:r>
          </w:p>
        </w:tc>
        <w:tc>
          <w:tcPr>
            <w:tcW w:type="dxa" w:w="1521"/>
            <w:tcBorders>
              <w:top w:val="none" w:color="000000" w:sz="4"/>
              <w:left w:val="single" w:color="000000" w:sz="4"/>
              <w:bottom w:val="single" w:color="000000" w:sz="4"/>
              <w:right w:val="single" w:color="000000" w:sz="4"/>
            </w:tcBorders>
            <w:vAlign w:val="top"/>
          </w:tcPr>
          <w:p>
            <w:pPr>
              <w:jc w:val="center"/>
            </w:pPr>
            <w:r>
              <w:rPr>
                <w:sz w:val="21"/>
              </w:rPr>
              <w:t>更新数据包生成与检查</w:t>
            </w:r>
          </w:p>
        </w:tc>
        <w:tc>
          <w:tcPr>
            <w:tcW w:type="dxa" w:w="1009"/>
            <w:tcBorders>
              <w:top w:val="none" w:color="000000" w:sz="4"/>
              <w:left w:val="single" w:color="000000" w:sz="4"/>
              <w:bottom w:val="single" w:color="000000" w:sz="4"/>
              <w:right w:val="single" w:color="000000" w:sz="4"/>
            </w:tcBorders>
            <w:vAlign w:val="top"/>
          </w:tcPr>
          <w:p>
            <w:pPr>
              <w:jc w:val="center"/>
            </w:pPr>
            <w:r>
              <w:rPr>
                <w:sz w:val="21"/>
              </w:rPr>
              <w:t>项</w:t>
            </w:r>
          </w:p>
        </w:tc>
        <w:tc>
          <w:tcPr>
            <w:tcW w:type="dxa" w:w="1009"/>
            <w:tcBorders>
              <w:top w:val="none" w:color="000000" w:sz="4"/>
              <w:left w:val="single" w:color="000000" w:sz="4"/>
              <w:bottom w:val="single" w:color="000000" w:sz="4"/>
              <w:right w:val="single" w:color="000000" w:sz="4"/>
            </w:tcBorders>
            <w:vAlign w:val="top"/>
          </w:tcPr>
          <w:p>
            <w:pPr>
              <w:jc w:val="center"/>
            </w:pPr>
            <w:r>
              <w:rPr>
                <w:sz w:val="21"/>
              </w:rPr>
              <w:t>1</w:t>
            </w:r>
          </w:p>
        </w:tc>
        <w:tc>
          <w:tcPr>
            <w:tcW w:type="dxa" w:w="944"/>
            <w:tcBorders>
              <w:top w:val="none" w:color="000000" w:sz="4"/>
              <w:left w:val="single" w:color="000000" w:sz="4"/>
              <w:bottom w:val="single" w:color="000000" w:sz="4"/>
              <w:right w:val="single" w:color="000000" w:sz="4"/>
            </w:tcBorders>
            <w:vAlign w:val="top"/>
          </w:tcPr>
          <w:p>
            <w:pPr>
              <w:jc w:val="center"/>
            </w:pPr>
            <w:r>
              <w:rPr>
                <w:sz w:val="21"/>
              </w:rPr>
              <w:t>/</w:t>
            </w:r>
          </w:p>
        </w:tc>
      </w:tr>
      <w:tr>
        <w:tc>
          <w:tcPr>
            <w:tcW w:type="dxa" w:w="901"/>
            <w:vMerge/>
            <w:tcBorders>
              <w:top w:val="none" w:color="000000" w:sz="4"/>
              <w:left w:val="single" w:color="000000" w:sz="4"/>
              <w:bottom w:val="single" w:color="000000" w:sz="4"/>
              <w:right w:val="single" w:color="000000" w:sz="4"/>
            </w:tcBorders>
          </w:tcPr>
          <w:p/>
        </w:tc>
        <w:tc>
          <w:tcPr>
            <w:tcW w:type="dxa" w:w="437"/>
            <w:vMerge w:val="restart"/>
            <w:tcBorders>
              <w:top w:val="none" w:color="000000" w:sz="4"/>
              <w:left w:val="single" w:color="000000" w:sz="4"/>
              <w:bottom w:val="single" w:color="000000" w:sz="4"/>
              <w:right w:val="single" w:color="000000" w:sz="4"/>
            </w:tcBorders>
            <w:vAlign w:val="top"/>
          </w:tcPr>
          <w:p>
            <w:pPr>
              <w:jc w:val="center"/>
            </w:pPr>
            <w:r>
              <w:rPr>
                <w:sz w:val="21"/>
              </w:rPr>
              <w:t>8</w:t>
            </w:r>
          </w:p>
        </w:tc>
        <w:tc>
          <w:tcPr>
            <w:tcW w:type="dxa" w:w="1521"/>
            <w:vMerge w:val="restart"/>
            <w:tcBorders>
              <w:top w:val="none" w:color="000000" w:sz="4"/>
              <w:left w:val="single" w:color="000000" w:sz="4"/>
              <w:bottom w:val="single" w:color="000000" w:sz="4"/>
              <w:right w:val="single" w:color="000000" w:sz="4"/>
            </w:tcBorders>
            <w:vAlign w:val="top"/>
          </w:tcPr>
          <w:p>
            <w:pPr>
              <w:jc w:val="center"/>
            </w:pPr>
            <w:r>
              <w:rPr>
                <w:sz w:val="21"/>
              </w:rPr>
              <w:t>成果形成、上报与修改</w:t>
            </w:r>
          </w:p>
        </w:tc>
        <w:tc>
          <w:tcPr>
            <w:tcW w:type="dxa" w:w="1009"/>
            <w:tcBorders>
              <w:top w:val="none" w:color="000000" w:sz="4"/>
              <w:left w:val="single" w:color="000000" w:sz="4"/>
              <w:bottom w:val="single" w:color="000000" w:sz="4"/>
              <w:right w:val="single" w:color="000000" w:sz="4"/>
            </w:tcBorders>
            <w:vAlign w:val="top"/>
          </w:tcPr>
          <w:p>
            <w:pPr>
              <w:jc w:val="center"/>
            </w:pPr>
            <w:r>
              <w:rPr>
                <w:sz w:val="21"/>
              </w:rPr>
              <w:t>项</w:t>
            </w:r>
          </w:p>
        </w:tc>
        <w:tc>
          <w:tcPr>
            <w:tcW w:type="dxa" w:w="1009"/>
            <w:tcBorders>
              <w:top w:val="none" w:color="000000" w:sz="4"/>
              <w:left w:val="single" w:color="000000" w:sz="4"/>
              <w:bottom w:val="single" w:color="000000" w:sz="4"/>
              <w:right w:val="single" w:color="000000" w:sz="4"/>
            </w:tcBorders>
            <w:vAlign w:val="top"/>
          </w:tcPr>
          <w:p>
            <w:pPr>
              <w:jc w:val="center"/>
            </w:pPr>
            <w:r>
              <w:rPr>
                <w:sz w:val="21"/>
              </w:rPr>
              <w:t>1</w:t>
            </w:r>
          </w:p>
        </w:tc>
        <w:tc>
          <w:tcPr>
            <w:tcW w:type="dxa" w:w="944"/>
            <w:tcBorders>
              <w:top w:val="none" w:color="000000" w:sz="4"/>
              <w:left w:val="single" w:color="000000" w:sz="4"/>
              <w:bottom w:val="single" w:color="000000" w:sz="4"/>
              <w:right w:val="single" w:color="000000" w:sz="4"/>
            </w:tcBorders>
            <w:vAlign w:val="top"/>
          </w:tcPr>
          <w:p>
            <w:pPr>
              <w:jc w:val="center"/>
            </w:pPr>
            <w:r>
              <w:rPr>
                <w:sz w:val="21"/>
              </w:rPr>
              <w:t>/</w:t>
            </w:r>
          </w:p>
        </w:tc>
      </w:tr>
      <w:tr>
        <w:tc>
          <w:tcPr>
            <w:tcW w:type="dxa" w:w="901"/>
            <w:vMerge/>
            <w:tcBorders>
              <w:top w:val="none" w:color="000000" w:sz="4"/>
              <w:left w:val="single" w:color="000000" w:sz="4"/>
              <w:bottom w:val="single" w:color="000000" w:sz="4"/>
              <w:right w:val="single" w:color="000000" w:sz="4"/>
            </w:tcBorders>
          </w:tcPr>
          <w:p/>
        </w:tc>
        <w:tc>
          <w:tcPr>
            <w:tcW w:type="dxa" w:w="437"/>
            <w:vMerge/>
            <w:tcBorders>
              <w:top w:val="none" w:color="000000" w:sz="4"/>
              <w:left w:val="single" w:color="000000" w:sz="4"/>
              <w:bottom w:val="single" w:color="000000" w:sz="4"/>
              <w:right w:val="single" w:color="000000" w:sz="4"/>
            </w:tcBorders>
          </w:tcPr>
          <w:p/>
        </w:tc>
        <w:tc>
          <w:tcPr>
            <w:tcW w:type="dxa" w:w="1521"/>
            <w:vMerge/>
            <w:tcBorders>
              <w:top w:val="none" w:color="000000" w:sz="4"/>
              <w:left w:val="single" w:color="000000" w:sz="4"/>
              <w:bottom w:val="single" w:color="000000" w:sz="4"/>
              <w:right w:val="single" w:color="000000" w:sz="4"/>
            </w:tcBorders>
          </w:tcPr>
          <w:p/>
        </w:tc>
        <w:tc>
          <w:tcPr>
            <w:tcW w:type="dxa" w:w="1009"/>
            <w:tcBorders>
              <w:top w:val="none" w:color="000000" w:sz="4"/>
              <w:left w:val="single" w:color="000000" w:sz="4"/>
              <w:bottom w:val="single" w:color="000000" w:sz="4"/>
              <w:right w:val="single" w:color="000000" w:sz="4"/>
            </w:tcBorders>
            <w:vAlign w:val="top"/>
          </w:tcPr>
          <w:p>
            <w:pPr>
              <w:jc w:val="center"/>
            </w:pPr>
            <w:r>
              <w:rPr>
                <w:sz w:val="21"/>
              </w:rPr>
              <w:t>项</w:t>
            </w:r>
          </w:p>
        </w:tc>
        <w:tc>
          <w:tcPr>
            <w:tcW w:type="dxa" w:w="1009"/>
            <w:tcBorders>
              <w:top w:val="none" w:color="000000" w:sz="4"/>
              <w:left w:val="single" w:color="000000" w:sz="4"/>
              <w:bottom w:val="single" w:color="000000" w:sz="4"/>
              <w:right w:val="single" w:color="000000" w:sz="4"/>
            </w:tcBorders>
            <w:vAlign w:val="top"/>
          </w:tcPr>
          <w:p>
            <w:pPr>
              <w:jc w:val="center"/>
            </w:pPr>
            <w:r>
              <w:rPr>
                <w:sz w:val="21"/>
              </w:rPr>
              <w:t>1</w:t>
            </w:r>
          </w:p>
        </w:tc>
        <w:tc>
          <w:tcPr>
            <w:tcW w:type="dxa" w:w="944"/>
            <w:tcBorders>
              <w:top w:val="none" w:color="000000" w:sz="4"/>
              <w:left w:val="single" w:color="000000" w:sz="4"/>
              <w:bottom w:val="single" w:color="000000" w:sz="4"/>
              <w:right w:val="single" w:color="000000" w:sz="4"/>
            </w:tcBorders>
            <w:vAlign w:val="top"/>
          </w:tcPr>
          <w:p>
            <w:pPr>
              <w:jc w:val="center"/>
            </w:pPr>
            <w:r>
              <w:rPr>
                <w:sz w:val="21"/>
              </w:rPr>
              <w:t>/</w:t>
            </w:r>
          </w:p>
        </w:tc>
      </w:tr>
      <w:tr>
        <w:tc>
          <w:tcPr>
            <w:tcW w:type="dxa" w:w="901"/>
            <w:vMerge/>
            <w:tcBorders>
              <w:top w:val="none" w:color="000000" w:sz="4"/>
              <w:left w:val="single" w:color="000000" w:sz="4"/>
              <w:bottom w:val="single" w:color="000000" w:sz="4"/>
              <w:right w:val="single" w:color="000000" w:sz="4"/>
            </w:tcBorders>
          </w:tcPr>
          <w:p/>
        </w:tc>
        <w:tc>
          <w:tcPr>
            <w:tcW w:type="dxa" w:w="437"/>
            <w:tcBorders>
              <w:top w:val="none" w:color="000000" w:sz="4"/>
              <w:left w:val="single" w:color="000000" w:sz="4"/>
              <w:bottom w:val="single" w:color="000000" w:sz="4"/>
              <w:right w:val="single" w:color="000000" w:sz="4"/>
            </w:tcBorders>
            <w:vAlign w:val="top"/>
          </w:tcPr>
          <w:p>
            <w:pPr>
              <w:jc w:val="center"/>
            </w:pPr>
            <w:r>
              <w:rPr>
                <w:sz w:val="21"/>
              </w:rPr>
              <w:t>9</w:t>
            </w:r>
          </w:p>
        </w:tc>
        <w:tc>
          <w:tcPr>
            <w:tcW w:type="dxa" w:w="1521"/>
            <w:tcBorders>
              <w:top w:val="none" w:color="000000" w:sz="4"/>
              <w:left w:val="single" w:color="000000" w:sz="4"/>
              <w:bottom w:val="single" w:color="000000" w:sz="4"/>
              <w:right w:val="single" w:color="000000" w:sz="4"/>
            </w:tcBorders>
            <w:vAlign w:val="top"/>
          </w:tcPr>
          <w:p>
            <w:pPr>
              <w:jc w:val="center"/>
            </w:pPr>
            <w:r>
              <w:rPr>
                <w:sz w:val="21"/>
              </w:rPr>
              <w:t>成果核查与维护</w:t>
            </w:r>
          </w:p>
        </w:tc>
        <w:tc>
          <w:tcPr>
            <w:tcW w:type="dxa" w:w="1009"/>
            <w:tcBorders>
              <w:top w:val="none" w:color="000000" w:sz="4"/>
              <w:left w:val="single" w:color="000000" w:sz="4"/>
              <w:bottom w:val="single" w:color="000000" w:sz="4"/>
              <w:right w:val="single" w:color="000000" w:sz="4"/>
            </w:tcBorders>
            <w:vAlign w:val="top"/>
          </w:tcPr>
          <w:p>
            <w:pPr>
              <w:jc w:val="center"/>
            </w:pPr>
            <w:r>
              <w:rPr>
                <w:sz w:val="21"/>
              </w:rPr>
              <w:t>项</w:t>
            </w:r>
          </w:p>
        </w:tc>
        <w:tc>
          <w:tcPr>
            <w:tcW w:type="dxa" w:w="1009"/>
            <w:tcBorders>
              <w:top w:val="none" w:color="000000" w:sz="4"/>
              <w:left w:val="single" w:color="000000" w:sz="4"/>
              <w:bottom w:val="single" w:color="000000" w:sz="4"/>
              <w:right w:val="single" w:color="000000" w:sz="4"/>
            </w:tcBorders>
            <w:vAlign w:val="top"/>
          </w:tcPr>
          <w:p>
            <w:pPr>
              <w:jc w:val="center"/>
            </w:pPr>
            <w:r>
              <w:rPr>
                <w:sz w:val="21"/>
              </w:rPr>
              <w:t>1</w:t>
            </w:r>
          </w:p>
        </w:tc>
        <w:tc>
          <w:tcPr>
            <w:tcW w:type="dxa" w:w="944"/>
            <w:tcBorders>
              <w:top w:val="none" w:color="000000" w:sz="4"/>
              <w:left w:val="single" w:color="000000" w:sz="4"/>
              <w:bottom w:val="single" w:color="000000" w:sz="4"/>
              <w:right w:val="single" w:color="000000" w:sz="4"/>
            </w:tcBorders>
            <w:vAlign w:val="top"/>
          </w:tcPr>
          <w:p>
            <w:pPr>
              <w:jc w:val="center"/>
            </w:pPr>
            <w:r>
              <w:rPr>
                <w:sz w:val="21"/>
              </w:rPr>
              <w:t>/</w:t>
            </w:r>
          </w:p>
        </w:tc>
      </w:tr>
      <w:tr>
        <w:tc>
          <w:tcPr>
            <w:tcW w:type="dxa" w:w="901"/>
            <w:vMerge/>
            <w:tcBorders>
              <w:top w:val="none" w:color="000000" w:sz="4"/>
              <w:left w:val="single" w:color="000000" w:sz="4"/>
              <w:bottom w:val="single" w:color="000000" w:sz="4"/>
              <w:right w:val="single" w:color="000000" w:sz="4"/>
            </w:tcBorders>
          </w:tcPr>
          <w:p/>
        </w:tc>
        <w:tc>
          <w:tcPr>
            <w:tcW w:type="dxa" w:w="4920"/>
            <w:gridSpan w:val="5"/>
            <w:tcBorders>
              <w:top w:val="none" w:color="000000" w:sz="4"/>
              <w:left w:val="single" w:color="000000" w:sz="4"/>
              <w:bottom w:val="single" w:color="000000" w:sz="4"/>
              <w:right w:val="single" w:color="000000" w:sz="4"/>
            </w:tcBorders>
            <w:vAlign w:val="top"/>
          </w:tcPr>
          <w:p>
            <w:pPr>
              <w:jc w:val="center"/>
            </w:pPr>
            <w:r>
              <w:rPr>
                <w:b/>
                <w:sz w:val="21"/>
              </w:rPr>
              <w:t>小计</w:t>
            </w:r>
            <w:r>
              <w:rPr>
                <w:b/>
                <w:sz w:val="21"/>
              </w:rPr>
              <w:t>2</w:t>
            </w:r>
          </w:p>
        </w:tc>
        <w:tc>
          <w:tcPr>
            <w:tcW w:type="dxa" w:w="2485"/>
            <w:tcBorders>
              <w:top w:val="none" w:color="000000" w:sz="4"/>
              <w:left w:val="single" w:color="000000" w:sz="4"/>
              <w:bottom w:val="single" w:color="000000" w:sz="4"/>
              <w:right w:val="single" w:color="000000" w:sz="4"/>
            </w:tcBorders>
            <w:vAlign w:val="top"/>
          </w:tcPr>
          <w:p>
            <w:pPr>
              <w:jc w:val="center"/>
            </w:pPr>
            <w:r>
              <w:rPr>
                <w:b/>
                <w:sz w:val="21"/>
                <w:u w:val="single"/>
              </w:rPr>
              <w:t xml:space="preserve">       </w:t>
            </w:r>
            <w:r>
              <w:rPr>
                <w:b/>
                <w:sz w:val="21"/>
              </w:rPr>
              <w:t>元</w:t>
            </w:r>
          </w:p>
        </w:tc>
      </w:tr>
      <w:tr>
        <w:tc>
          <w:tcPr>
            <w:tcW w:type="dxa" w:w="901"/>
            <w:vMerge w:val="restart"/>
            <w:tcBorders>
              <w:top w:val="none" w:color="000000" w:sz="4"/>
              <w:left w:val="single" w:color="000000" w:sz="4"/>
              <w:bottom w:val="single" w:color="000000" w:sz="4"/>
              <w:right w:val="single" w:color="000000" w:sz="4"/>
            </w:tcBorders>
            <w:vAlign w:val="top"/>
          </w:tcPr>
          <w:p>
            <w:pPr>
              <w:jc w:val="center"/>
            </w:pPr>
            <w:r>
              <w:rPr>
                <w:b/>
                <w:sz w:val="21"/>
              </w:rPr>
              <w:t>新兴县</w:t>
            </w:r>
            <w:r>
              <w:rPr>
                <w:b/>
                <w:sz w:val="21"/>
              </w:rPr>
              <w:t>2023年度卫片执法技术服务</w:t>
            </w:r>
          </w:p>
        </w:tc>
        <w:tc>
          <w:tcPr>
            <w:tcW w:type="dxa" w:w="437"/>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521"/>
            <w:tcBorders>
              <w:top w:val="none" w:color="000000" w:sz="4"/>
              <w:left w:val="single" w:color="000000" w:sz="4"/>
              <w:bottom w:val="single" w:color="000000" w:sz="4"/>
              <w:right w:val="single" w:color="000000" w:sz="4"/>
            </w:tcBorders>
            <w:vAlign w:val="top"/>
          </w:tcPr>
          <w:p>
            <w:pPr>
              <w:jc w:val="center"/>
            </w:pPr>
            <w:r>
              <w:rPr>
                <w:sz w:val="21"/>
              </w:rPr>
              <w:t>资料收集及设备准备</w:t>
            </w:r>
          </w:p>
        </w:tc>
        <w:tc>
          <w:tcPr>
            <w:tcW w:type="dxa" w:w="1009"/>
            <w:tcBorders>
              <w:top w:val="single" w:color="000000" w:sz="4"/>
              <w:left w:val="single" w:color="000000" w:sz="4"/>
              <w:bottom w:val="single" w:color="000000" w:sz="4"/>
              <w:right w:val="single" w:color="000000" w:sz="4"/>
            </w:tcBorders>
            <w:vAlign w:val="top"/>
          </w:tcPr>
          <w:p>
            <w:pPr>
              <w:jc w:val="center"/>
            </w:pPr>
            <w:r>
              <w:rPr>
                <w:sz w:val="21"/>
              </w:rPr>
              <w:t>月度</w:t>
            </w:r>
          </w:p>
        </w:tc>
        <w:tc>
          <w:tcPr>
            <w:tcW w:type="dxa" w:w="1009"/>
            <w:tcBorders>
              <w:top w:val="single" w:color="000000" w:sz="4"/>
              <w:left w:val="single" w:color="000000" w:sz="4"/>
              <w:bottom w:val="single" w:color="000000" w:sz="4"/>
              <w:right w:val="single" w:color="000000" w:sz="4"/>
            </w:tcBorders>
            <w:vAlign w:val="top"/>
          </w:tcPr>
          <w:p>
            <w:pPr>
              <w:jc w:val="center"/>
            </w:pPr>
            <w:r>
              <w:rPr>
                <w:sz w:val="21"/>
              </w:rPr>
              <w:t>12</w:t>
            </w:r>
          </w:p>
        </w:tc>
        <w:tc>
          <w:tcPr>
            <w:tcW w:type="dxa" w:w="944"/>
            <w:tcBorders>
              <w:top w:val="single" w:color="000000" w:sz="4"/>
              <w:left w:val="single" w:color="000000" w:sz="4"/>
              <w:bottom w:val="single" w:color="000000" w:sz="4"/>
              <w:right w:val="single" w:color="000000" w:sz="4"/>
            </w:tcBorders>
            <w:vAlign w:val="top"/>
          </w:tcPr>
          <w:p>
            <w:pPr>
              <w:jc w:val="center"/>
            </w:pPr>
            <w:r>
              <w:rPr>
                <w:sz w:val="21"/>
                <w:u w:val="single"/>
              </w:rPr>
              <w:t xml:space="preserve">   </w:t>
            </w:r>
            <w:r>
              <w:rPr>
                <w:sz w:val="21"/>
              </w:rPr>
              <w:t>元</w:t>
            </w:r>
            <w:r>
              <w:rPr>
                <w:sz w:val="21"/>
              </w:rPr>
              <w:t>/月</w:t>
            </w:r>
          </w:p>
        </w:tc>
        <w:tc>
          <w:tcPr>
            <w:tcW w:type="dxa" w:w="2485"/>
            <w:tcBorders>
              <w:top w:val="single" w:color="000000" w:sz="4"/>
              <w:left w:val="single" w:color="000000" w:sz="4"/>
              <w:bottom w:val="single" w:color="000000" w:sz="4"/>
              <w:right w:val="single" w:color="000000" w:sz="4"/>
            </w:tcBorders>
            <w:vAlign w:val="top"/>
          </w:tcPr>
          <w:p>
            <w:pPr>
              <w:jc w:val="center"/>
            </w:pPr>
            <w:r>
              <w:rPr>
                <w:sz w:val="21"/>
                <w:u w:val="single"/>
              </w:rPr>
              <w:t xml:space="preserve">       </w:t>
            </w:r>
            <w:r>
              <w:rPr>
                <w:sz w:val="21"/>
              </w:rPr>
              <w:t>元</w:t>
            </w:r>
          </w:p>
        </w:tc>
      </w:tr>
      <w:tr>
        <w:tc>
          <w:tcPr>
            <w:tcW w:type="dxa" w:w="901"/>
            <w:vMerge/>
            <w:tcBorders>
              <w:top w:val="none" w:color="000000" w:sz="4"/>
              <w:left w:val="single" w:color="000000" w:sz="4"/>
              <w:bottom w:val="single" w:color="000000" w:sz="4"/>
              <w:right w:val="single" w:color="000000" w:sz="4"/>
            </w:tcBorders>
          </w:tcPr>
          <w:p/>
        </w:tc>
        <w:tc>
          <w:tcPr>
            <w:tcW w:type="dxa" w:w="437"/>
            <w:tcBorders>
              <w:top w:val="none" w:color="000000" w:sz="4"/>
              <w:left w:val="single" w:color="000000" w:sz="4"/>
              <w:bottom w:val="single" w:color="000000" w:sz="4"/>
              <w:right w:val="single" w:color="000000" w:sz="4"/>
            </w:tcBorders>
            <w:vAlign w:val="top"/>
          </w:tcPr>
          <w:p>
            <w:pPr>
              <w:jc w:val="center"/>
            </w:pPr>
            <w:r>
              <w:rPr>
                <w:sz w:val="21"/>
              </w:rPr>
              <w:t>2</w:t>
            </w:r>
          </w:p>
        </w:tc>
        <w:tc>
          <w:tcPr>
            <w:tcW w:type="dxa" w:w="1521"/>
            <w:tcBorders>
              <w:top w:val="none" w:color="000000" w:sz="4"/>
              <w:left w:val="single" w:color="000000" w:sz="4"/>
              <w:bottom w:val="single" w:color="000000" w:sz="4"/>
              <w:right w:val="single" w:color="000000" w:sz="4"/>
            </w:tcBorders>
            <w:vAlign w:val="top"/>
          </w:tcPr>
          <w:p>
            <w:pPr>
              <w:jc w:val="center"/>
            </w:pPr>
            <w:r>
              <w:rPr>
                <w:sz w:val="21"/>
              </w:rPr>
              <w:t>图斑判定</w:t>
            </w:r>
          </w:p>
        </w:tc>
        <w:tc>
          <w:tcPr>
            <w:tcW w:type="dxa" w:w="1009"/>
            <w:tcBorders>
              <w:top w:val="none" w:color="000000" w:sz="4"/>
              <w:left w:val="single" w:color="000000" w:sz="4"/>
              <w:bottom w:val="single" w:color="000000" w:sz="4"/>
              <w:right w:val="single" w:color="000000" w:sz="4"/>
            </w:tcBorders>
            <w:vAlign w:val="top"/>
          </w:tcPr>
          <w:p>
            <w:pPr>
              <w:jc w:val="center"/>
            </w:pPr>
            <w:r>
              <w:rPr>
                <w:sz w:val="21"/>
              </w:rPr>
              <w:t>个</w:t>
            </w:r>
          </w:p>
        </w:tc>
        <w:tc>
          <w:tcPr>
            <w:tcW w:type="dxa" w:w="1009"/>
            <w:tcBorders>
              <w:top w:val="none" w:color="000000" w:sz="4"/>
              <w:left w:val="single" w:color="000000" w:sz="4"/>
              <w:bottom w:val="single" w:color="000000" w:sz="4"/>
              <w:right w:val="single" w:color="000000" w:sz="4"/>
            </w:tcBorders>
            <w:vAlign w:val="top"/>
          </w:tcPr>
          <w:p>
            <w:pPr>
              <w:jc w:val="center"/>
            </w:pPr>
            <w:r>
              <w:rPr>
                <w:sz w:val="21"/>
              </w:rPr>
              <w:t>预估数：</w:t>
            </w:r>
            <w:r>
              <w:rPr>
                <w:sz w:val="21"/>
              </w:rPr>
              <w:t>1200</w:t>
            </w:r>
          </w:p>
        </w:tc>
        <w:tc>
          <w:tcPr>
            <w:tcW w:type="dxa" w:w="944"/>
            <w:tcBorders>
              <w:top w:val="none" w:color="000000" w:sz="4"/>
              <w:left w:val="single" w:color="000000" w:sz="4"/>
              <w:bottom w:val="single" w:color="000000" w:sz="4"/>
              <w:right w:val="single" w:color="000000" w:sz="4"/>
            </w:tcBorders>
            <w:vAlign w:val="top"/>
          </w:tcPr>
          <w:p>
            <w:pPr>
              <w:jc w:val="center"/>
            </w:pPr>
            <w:r>
              <w:rPr>
                <w:sz w:val="21"/>
                <w:u w:val="single"/>
              </w:rPr>
              <w:t xml:space="preserve">   </w:t>
            </w:r>
            <w:r>
              <w:rPr>
                <w:sz w:val="21"/>
              </w:rPr>
              <w:t>元</w:t>
            </w:r>
            <w:r>
              <w:rPr>
                <w:sz w:val="21"/>
              </w:rPr>
              <w:t>/个</w:t>
            </w:r>
          </w:p>
        </w:tc>
        <w:tc>
          <w:tcPr>
            <w:tcW w:type="dxa" w:w="2485"/>
            <w:tcBorders>
              <w:top w:val="none" w:color="000000" w:sz="4"/>
              <w:left w:val="single" w:color="000000" w:sz="4"/>
              <w:bottom w:val="single" w:color="000000" w:sz="4"/>
              <w:right w:val="single" w:color="000000" w:sz="4"/>
            </w:tcBorders>
            <w:vAlign w:val="top"/>
          </w:tcPr>
          <w:p>
            <w:pPr>
              <w:jc w:val="center"/>
            </w:pPr>
            <w:r>
              <w:rPr>
                <w:sz w:val="21"/>
                <w:u w:val="single"/>
              </w:rPr>
              <w:t xml:space="preserve">       </w:t>
            </w:r>
            <w:r>
              <w:rPr>
                <w:sz w:val="21"/>
              </w:rPr>
              <w:t>元</w:t>
            </w:r>
          </w:p>
        </w:tc>
      </w:tr>
      <w:tr>
        <w:tc>
          <w:tcPr>
            <w:tcW w:type="dxa" w:w="901"/>
            <w:vMerge/>
            <w:tcBorders>
              <w:top w:val="none" w:color="000000" w:sz="4"/>
              <w:left w:val="single" w:color="000000" w:sz="4"/>
              <w:bottom w:val="single" w:color="000000" w:sz="4"/>
              <w:right w:val="single" w:color="000000" w:sz="4"/>
            </w:tcBorders>
          </w:tcPr>
          <w:p/>
        </w:tc>
        <w:tc>
          <w:tcPr>
            <w:tcW w:type="dxa" w:w="437"/>
            <w:tcBorders>
              <w:top w:val="none" w:color="000000" w:sz="4"/>
              <w:left w:val="single" w:color="000000" w:sz="4"/>
              <w:bottom w:val="single" w:color="000000" w:sz="4"/>
              <w:right w:val="single" w:color="000000" w:sz="4"/>
            </w:tcBorders>
            <w:vAlign w:val="top"/>
          </w:tcPr>
          <w:p>
            <w:pPr>
              <w:jc w:val="center"/>
            </w:pPr>
            <w:r>
              <w:rPr>
                <w:sz w:val="21"/>
              </w:rPr>
              <w:t>3</w:t>
            </w:r>
          </w:p>
        </w:tc>
        <w:tc>
          <w:tcPr>
            <w:tcW w:type="dxa" w:w="1521"/>
            <w:tcBorders>
              <w:top w:val="none" w:color="000000" w:sz="4"/>
              <w:left w:val="single" w:color="000000" w:sz="4"/>
              <w:bottom w:val="single" w:color="000000" w:sz="4"/>
              <w:right w:val="single" w:color="000000" w:sz="4"/>
            </w:tcBorders>
            <w:vAlign w:val="top"/>
          </w:tcPr>
          <w:p>
            <w:pPr>
              <w:jc w:val="center"/>
            </w:pPr>
            <w:r>
              <w:rPr>
                <w:sz w:val="21"/>
              </w:rPr>
              <w:t>底图制作</w:t>
            </w:r>
          </w:p>
        </w:tc>
        <w:tc>
          <w:tcPr>
            <w:tcW w:type="dxa" w:w="1009"/>
            <w:tcBorders>
              <w:top w:val="none" w:color="000000" w:sz="4"/>
              <w:left w:val="single" w:color="000000" w:sz="4"/>
              <w:bottom w:val="single" w:color="000000" w:sz="4"/>
              <w:right w:val="single" w:color="000000" w:sz="4"/>
            </w:tcBorders>
            <w:vAlign w:val="top"/>
          </w:tcPr>
          <w:p>
            <w:pPr>
              <w:jc w:val="center"/>
            </w:pPr>
            <w:r>
              <w:rPr>
                <w:sz w:val="21"/>
              </w:rPr>
              <w:t>个</w:t>
            </w:r>
          </w:p>
        </w:tc>
        <w:tc>
          <w:tcPr>
            <w:tcW w:type="dxa" w:w="1009"/>
            <w:tcBorders>
              <w:top w:val="none" w:color="000000" w:sz="4"/>
              <w:left w:val="single" w:color="000000" w:sz="4"/>
              <w:bottom w:val="single" w:color="000000" w:sz="4"/>
              <w:right w:val="single" w:color="000000" w:sz="4"/>
            </w:tcBorders>
            <w:vAlign w:val="top"/>
          </w:tcPr>
          <w:p>
            <w:pPr>
              <w:jc w:val="center"/>
            </w:pPr>
            <w:r>
              <w:rPr>
                <w:sz w:val="21"/>
              </w:rPr>
              <w:t>预估数：</w:t>
            </w:r>
            <w:r>
              <w:rPr>
                <w:sz w:val="21"/>
              </w:rPr>
              <w:t>1200</w:t>
            </w:r>
          </w:p>
        </w:tc>
        <w:tc>
          <w:tcPr>
            <w:tcW w:type="dxa" w:w="944"/>
            <w:tcBorders>
              <w:top w:val="none" w:color="000000" w:sz="4"/>
              <w:left w:val="single" w:color="000000" w:sz="4"/>
              <w:bottom w:val="single" w:color="000000" w:sz="4"/>
              <w:right w:val="single" w:color="000000" w:sz="4"/>
            </w:tcBorders>
            <w:vAlign w:val="top"/>
          </w:tcPr>
          <w:p>
            <w:pPr>
              <w:jc w:val="center"/>
            </w:pPr>
            <w:r>
              <w:rPr>
                <w:sz w:val="21"/>
                <w:u w:val="single"/>
              </w:rPr>
              <w:t xml:space="preserve">   </w:t>
            </w:r>
            <w:r>
              <w:rPr>
                <w:sz w:val="21"/>
              </w:rPr>
              <w:t>元</w:t>
            </w:r>
            <w:r>
              <w:rPr>
                <w:sz w:val="21"/>
              </w:rPr>
              <w:t>/个</w:t>
            </w:r>
          </w:p>
        </w:tc>
        <w:tc>
          <w:tcPr>
            <w:tcW w:type="dxa" w:w="2485"/>
            <w:tcBorders>
              <w:top w:val="none" w:color="000000" w:sz="4"/>
              <w:left w:val="single" w:color="000000" w:sz="4"/>
              <w:bottom w:val="single" w:color="000000" w:sz="4"/>
              <w:right w:val="single" w:color="000000" w:sz="4"/>
            </w:tcBorders>
            <w:vAlign w:val="top"/>
          </w:tcPr>
          <w:p>
            <w:pPr>
              <w:jc w:val="center"/>
            </w:pPr>
            <w:r>
              <w:rPr>
                <w:sz w:val="21"/>
                <w:u w:val="single"/>
              </w:rPr>
              <w:t xml:space="preserve">       </w:t>
            </w:r>
            <w:r>
              <w:rPr>
                <w:sz w:val="21"/>
              </w:rPr>
              <w:t>元</w:t>
            </w:r>
          </w:p>
        </w:tc>
      </w:tr>
      <w:tr>
        <w:tc>
          <w:tcPr>
            <w:tcW w:type="dxa" w:w="901"/>
            <w:vMerge/>
            <w:tcBorders>
              <w:top w:val="none" w:color="000000" w:sz="4"/>
              <w:left w:val="single" w:color="000000" w:sz="4"/>
              <w:bottom w:val="single" w:color="000000" w:sz="4"/>
              <w:right w:val="single" w:color="000000" w:sz="4"/>
            </w:tcBorders>
          </w:tcPr>
          <w:p/>
        </w:tc>
        <w:tc>
          <w:tcPr>
            <w:tcW w:type="dxa" w:w="437"/>
            <w:tcBorders>
              <w:top w:val="none" w:color="000000" w:sz="4"/>
              <w:left w:val="single" w:color="000000" w:sz="4"/>
              <w:bottom w:val="single" w:color="000000" w:sz="4"/>
              <w:right w:val="single" w:color="000000" w:sz="4"/>
            </w:tcBorders>
            <w:vAlign w:val="top"/>
          </w:tcPr>
          <w:p>
            <w:pPr>
              <w:jc w:val="center"/>
            </w:pPr>
            <w:r>
              <w:rPr>
                <w:sz w:val="21"/>
              </w:rPr>
              <w:t>4</w:t>
            </w:r>
          </w:p>
        </w:tc>
        <w:tc>
          <w:tcPr>
            <w:tcW w:type="dxa" w:w="1521"/>
            <w:tcBorders>
              <w:top w:val="none" w:color="000000" w:sz="4"/>
              <w:left w:val="single" w:color="000000" w:sz="4"/>
              <w:bottom w:val="single" w:color="000000" w:sz="4"/>
              <w:right w:val="single" w:color="000000" w:sz="4"/>
            </w:tcBorders>
            <w:vAlign w:val="top"/>
          </w:tcPr>
          <w:p>
            <w:pPr>
              <w:jc w:val="center"/>
            </w:pPr>
            <w:r>
              <w:rPr>
                <w:sz w:val="21"/>
              </w:rPr>
              <w:t>实地举证</w:t>
            </w:r>
          </w:p>
        </w:tc>
        <w:tc>
          <w:tcPr>
            <w:tcW w:type="dxa" w:w="1009"/>
            <w:tcBorders>
              <w:top w:val="none" w:color="000000" w:sz="4"/>
              <w:left w:val="single" w:color="000000" w:sz="4"/>
              <w:bottom w:val="single" w:color="000000" w:sz="4"/>
              <w:right w:val="single" w:color="000000" w:sz="4"/>
            </w:tcBorders>
            <w:vAlign w:val="top"/>
          </w:tcPr>
          <w:p>
            <w:pPr>
              <w:jc w:val="center"/>
            </w:pPr>
            <w:r>
              <w:rPr>
                <w:sz w:val="21"/>
              </w:rPr>
              <w:t>个</w:t>
            </w:r>
          </w:p>
        </w:tc>
        <w:tc>
          <w:tcPr>
            <w:tcW w:type="dxa" w:w="1009"/>
            <w:tcBorders>
              <w:top w:val="none" w:color="000000" w:sz="4"/>
              <w:left w:val="single" w:color="000000" w:sz="4"/>
              <w:bottom w:val="single" w:color="000000" w:sz="4"/>
              <w:right w:val="single" w:color="000000" w:sz="4"/>
            </w:tcBorders>
            <w:vAlign w:val="top"/>
          </w:tcPr>
          <w:p>
            <w:pPr>
              <w:jc w:val="center"/>
            </w:pPr>
            <w:r>
              <w:rPr>
                <w:sz w:val="21"/>
              </w:rPr>
              <w:t>预估数：</w:t>
            </w:r>
            <w:r>
              <w:rPr>
                <w:sz w:val="21"/>
              </w:rPr>
              <w:t>1200</w:t>
            </w:r>
          </w:p>
        </w:tc>
        <w:tc>
          <w:tcPr>
            <w:tcW w:type="dxa" w:w="944"/>
            <w:tcBorders>
              <w:top w:val="none" w:color="000000" w:sz="4"/>
              <w:left w:val="single" w:color="000000" w:sz="4"/>
              <w:bottom w:val="single" w:color="000000" w:sz="4"/>
              <w:right w:val="single" w:color="000000" w:sz="4"/>
            </w:tcBorders>
            <w:vAlign w:val="top"/>
          </w:tcPr>
          <w:p>
            <w:pPr>
              <w:jc w:val="center"/>
            </w:pPr>
            <w:r>
              <w:rPr>
                <w:sz w:val="21"/>
                <w:u w:val="single"/>
              </w:rPr>
              <w:t xml:space="preserve">   </w:t>
            </w:r>
            <w:r>
              <w:rPr>
                <w:sz w:val="21"/>
              </w:rPr>
              <w:t>元</w:t>
            </w:r>
            <w:r>
              <w:rPr>
                <w:sz w:val="21"/>
              </w:rPr>
              <w:t>/个</w:t>
            </w:r>
          </w:p>
        </w:tc>
        <w:tc>
          <w:tcPr>
            <w:tcW w:type="dxa" w:w="2485"/>
            <w:tcBorders>
              <w:top w:val="none" w:color="000000" w:sz="4"/>
              <w:left w:val="single" w:color="000000" w:sz="4"/>
              <w:bottom w:val="single" w:color="000000" w:sz="4"/>
              <w:right w:val="single" w:color="000000" w:sz="4"/>
            </w:tcBorders>
            <w:vAlign w:val="top"/>
          </w:tcPr>
          <w:p>
            <w:pPr>
              <w:jc w:val="center"/>
            </w:pPr>
            <w:r>
              <w:rPr>
                <w:sz w:val="21"/>
                <w:u w:val="single"/>
              </w:rPr>
              <w:t xml:space="preserve">       </w:t>
            </w:r>
            <w:r>
              <w:rPr>
                <w:sz w:val="21"/>
              </w:rPr>
              <w:t>元</w:t>
            </w:r>
          </w:p>
        </w:tc>
      </w:tr>
      <w:tr>
        <w:tc>
          <w:tcPr>
            <w:tcW w:type="dxa" w:w="901"/>
            <w:vMerge/>
            <w:tcBorders>
              <w:top w:val="none" w:color="000000" w:sz="4"/>
              <w:left w:val="single" w:color="000000" w:sz="4"/>
              <w:bottom w:val="single" w:color="000000" w:sz="4"/>
              <w:right w:val="single" w:color="000000" w:sz="4"/>
            </w:tcBorders>
          </w:tcPr>
          <w:p/>
        </w:tc>
        <w:tc>
          <w:tcPr>
            <w:tcW w:type="dxa" w:w="437"/>
            <w:tcBorders>
              <w:top w:val="none" w:color="000000" w:sz="4"/>
              <w:left w:val="single" w:color="000000" w:sz="4"/>
              <w:bottom w:val="single" w:color="000000" w:sz="4"/>
              <w:right w:val="single" w:color="000000" w:sz="4"/>
            </w:tcBorders>
            <w:vAlign w:val="top"/>
          </w:tcPr>
          <w:p>
            <w:pPr>
              <w:jc w:val="center"/>
            </w:pPr>
            <w:r>
              <w:rPr>
                <w:sz w:val="21"/>
              </w:rPr>
              <w:t>5</w:t>
            </w:r>
          </w:p>
        </w:tc>
        <w:tc>
          <w:tcPr>
            <w:tcW w:type="dxa" w:w="1521"/>
            <w:tcBorders>
              <w:top w:val="none" w:color="000000" w:sz="4"/>
              <w:left w:val="single" w:color="000000" w:sz="4"/>
              <w:bottom w:val="single" w:color="000000" w:sz="4"/>
              <w:right w:val="single" w:color="000000" w:sz="4"/>
            </w:tcBorders>
            <w:vAlign w:val="top"/>
          </w:tcPr>
          <w:p>
            <w:pPr>
              <w:jc w:val="center"/>
            </w:pPr>
            <w:r>
              <w:rPr>
                <w:sz w:val="21"/>
              </w:rPr>
              <w:t>数据整理上报</w:t>
            </w:r>
          </w:p>
        </w:tc>
        <w:tc>
          <w:tcPr>
            <w:tcW w:type="dxa" w:w="1009"/>
            <w:tcBorders>
              <w:top w:val="none" w:color="000000" w:sz="4"/>
              <w:left w:val="single" w:color="000000" w:sz="4"/>
              <w:bottom w:val="single" w:color="000000" w:sz="4"/>
              <w:right w:val="single" w:color="000000" w:sz="4"/>
            </w:tcBorders>
            <w:vAlign w:val="top"/>
          </w:tcPr>
          <w:p>
            <w:pPr>
              <w:jc w:val="center"/>
            </w:pPr>
            <w:r>
              <w:rPr>
                <w:sz w:val="21"/>
              </w:rPr>
              <w:t>月度</w:t>
            </w:r>
          </w:p>
        </w:tc>
        <w:tc>
          <w:tcPr>
            <w:tcW w:type="dxa" w:w="1009"/>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944"/>
            <w:tcBorders>
              <w:top w:val="none" w:color="000000" w:sz="4"/>
              <w:left w:val="single" w:color="000000" w:sz="4"/>
              <w:bottom w:val="single" w:color="000000" w:sz="4"/>
              <w:right w:val="single" w:color="000000" w:sz="4"/>
            </w:tcBorders>
            <w:vAlign w:val="top"/>
          </w:tcPr>
          <w:p>
            <w:pPr>
              <w:jc w:val="center"/>
            </w:pPr>
            <w:r>
              <w:rPr>
                <w:sz w:val="21"/>
                <w:u w:val="single"/>
              </w:rPr>
              <w:t xml:space="preserve">   </w:t>
            </w:r>
            <w:r>
              <w:rPr>
                <w:sz w:val="21"/>
              </w:rPr>
              <w:t>元</w:t>
            </w:r>
            <w:r>
              <w:rPr>
                <w:sz w:val="21"/>
              </w:rPr>
              <w:t>/月</w:t>
            </w:r>
          </w:p>
        </w:tc>
        <w:tc>
          <w:tcPr>
            <w:tcW w:type="dxa" w:w="2485"/>
            <w:tcBorders>
              <w:top w:val="none" w:color="000000" w:sz="4"/>
              <w:left w:val="single" w:color="000000" w:sz="4"/>
              <w:bottom w:val="single" w:color="000000" w:sz="4"/>
              <w:right w:val="single" w:color="000000" w:sz="4"/>
            </w:tcBorders>
            <w:vAlign w:val="top"/>
          </w:tcPr>
          <w:p>
            <w:pPr>
              <w:jc w:val="center"/>
            </w:pPr>
            <w:r>
              <w:rPr>
                <w:sz w:val="21"/>
                <w:u w:val="single"/>
              </w:rPr>
              <w:t xml:space="preserve">       </w:t>
            </w:r>
            <w:r>
              <w:rPr>
                <w:sz w:val="21"/>
              </w:rPr>
              <w:t>元</w:t>
            </w:r>
          </w:p>
        </w:tc>
      </w:tr>
      <w:tr>
        <w:tc>
          <w:tcPr>
            <w:tcW w:type="dxa" w:w="901"/>
            <w:vMerge/>
            <w:tcBorders>
              <w:top w:val="none" w:color="000000" w:sz="4"/>
              <w:left w:val="single" w:color="000000" w:sz="4"/>
              <w:bottom w:val="single" w:color="000000" w:sz="4"/>
              <w:right w:val="single" w:color="000000" w:sz="4"/>
            </w:tcBorders>
          </w:tcPr>
          <w:p/>
        </w:tc>
        <w:tc>
          <w:tcPr>
            <w:tcW w:type="dxa" w:w="437"/>
            <w:tcBorders>
              <w:top w:val="none" w:color="000000" w:sz="4"/>
              <w:left w:val="single" w:color="000000" w:sz="4"/>
              <w:bottom w:val="single" w:color="000000" w:sz="4"/>
              <w:right w:val="single" w:color="000000" w:sz="4"/>
            </w:tcBorders>
            <w:vAlign w:val="top"/>
          </w:tcPr>
          <w:p>
            <w:pPr>
              <w:jc w:val="center"/>
            </w:pPr>
            <w:r>
              <w:rPr>
                <w:sz w:val="21"/>
              </w:rPr>
              <w:t>6</w:t>
            </w:r>
          </w:p>
        </w:tc>
        <w:tc>
          <w:tcPr>
            <w:tcW w:type="dxa" w:w="1521"/>
            <w:tcBorders>
              <w:top w:val="none" w:color="000000" w:sz="4"/>
              <w:left w:val="single" w:color="000000" w:sz="4"/>
              <w:bottom w:val="single" w:color="000000" w:sz="4"/>
              <w:right w:val="single" w:color="000000" w:sz="4"/>
            </w:tcBorders>
            <w:vAlign w:val="top"/>
          </w:tcPr>
          <w:p>
            <w:pPr>
              <w:jc w:val="center"/>
            </w:pPr>
            <w:r>
              <w:rPr>
                <w:sz w:val="21"/>
              </w:rPr>
              <w:t>报告编写</w:t>
            </w:r>
          </w:p>
        </w:tc>
        <w:tc>
          <w:tcPr>
            <w:tcW w:type="dxa" w:w="1009"/>
            <w:tcBorders>
              <w:top w:val="none" w:color="000000" w:sz="4"/>
              <w:left w:val="single" w:color="000000" w:sz="4"/>
              <w:bottom w:val="single" w:color="000000" w:sz="4"/>
              <w:right w:val="single" w:color="000000" w:sz="4"/>
            </w:tcBorders>
            <w:vAlign w:val="top"/>
          </w:tcPr>
          <w:p>
            <w:pPr>
              <w:jc w:val="center"/>
            </w:pPr>
            <w:r>
              <w:rPr>
                <w:sz w:val="21"/>
              </w:rPr>
              <w:t>项</w:t>
            </w:r>
          </w:p>
        </w:tc>
        <w:tc>
          <w:tcPr>
            <w:tcW w:type="dxa" w:w="1009"/>
            <w:tcBorders>
              <w:top w:val="none" w:color="000000" w:sz="4"/>
              <w:left w:val="single" w:color="000000" w:sz="4"/>
              <w:bottom w:val="single" w:color="000000" w:sz="4"/>
              <w:right w:val="single" w:color="000000" w:sz="4"/>
            </w:tcBorders>
            <w:vAlign w:val="top"/>
          </w:tcPr>
          <w:p>
            <w:pPr>
              <w:jc w:val="center"/>
            </w:pPr>
            <w:r>
              <w:rPr>
                <w:sz w:val="21"/>
              </w:rPr>
              <w:t>1</w:t>
            </w:r>
          </w:p>
        </w:tc>
        <w:tc>
          <w:tcPr>
            <w:tcW w:type="dxa" w:w="944"/>
            <w:tcBorders>
              <w:top w:val="none" w:color="000000" w:sz="4"/>
              <w:left w:val="single" w:color="000000" w:sz="4"/>
              <w:bottom w:val="single" w:color="000000" w:sz="4"/>
              <w:right w:val="single" w:color="000000" w:sz="4"/>
            </w:tcBorders>
            <w:vAlign w:val="top"/>
          </w:tcPr>
          <w:p>
            <w:pPr>
              <w:jc w:val="center"/>
            </w:pPr>
            <w:r>
              <w:rPr>
                <w:sz w:val="21"/>
                <w:u w:val="single"/>
              </w:rPr>
              <w:t xml:space="preserve">   </w:t>
            </w:r>
            <w:r>
              <w:rPr>
                <w:sz w:val="21"/>
              </w:rPr>
              <w:t>元</w:t>
            </w:r>
            <w:r>
              <w:rPr>
                <w:sz w:val="21"/>
              </w:rPr>
              <w:t>/项</w:t>
            </w:r>
          </w:p>
        </w:tc>
        <w:tc>
          <w:tcPr>
            <w:tcW w:type="dxa" w:w="2485"/>
            <w:tcBorders>
              <w:top w:val="none" w:color="000000" w:sz="4"/>
              <w:left w:val="single" w:color="000000" w:sz="4"/>
              <w:bottom w:val="single" w:color="000000" w:sz="4"/>
              <w:right w:val="single" w:color="000000" w:sz="4"/>
            </w:tcBorders>
            <w:vAlign w:val="top"/>
          </w:tcPr>
          <w:p>
            <w:pPr>
              <w:jc w:val="center"/>
            </w:pPr>
            <w:r>
              <w:rPr>
                <w:sz w:val="21"/>
                <w:u w:val="single"/>
              </w:rPr>
              <w:t xml:space="preserve">       </w:t>
            </w:r>
            <w:r>
              <w:rPr>
                <w:sz w:val="21"/>
              </w:rPr>
              <w:t>元</w:t>
            </w:r>
          </w:p>
        </w:tc>
      </w:tr>
      <w:tr>
        <w:tc>
          <w:tcPr>
            <w:tcW w:type="dxa" w:w="901"/>
            <w:vMerge/>
            <w:tcBorders>
              <w:top w:val="none" w:color="000000" w:sz="4"/>
              <w:left w:val="single" w:color="000000" w:sz="4"/>
              <w:bottom w:val="single" w:color="000000" w:sz="4"/>
              <w:right w:val="single" w:color="000000" w:sz="4"/>
            </w:tcBorders>
          </w:tcPr>
          <w:p/>
        </w:tc>
        <w:tc>
          <w:tcPr>
            <w:tcW w:type="dxa" w:w="4920"/>
            <w:gridSpan w:val="5"/>
            <w:tcBorders>
              <w:top w:val="none" w:color="000000" w:sz="4"/>
              <w:left w:val="single" w:color="000000" w:sz="4"/>
              <w:bottom w:val="single" w:color="000000" w:sz="4"/>
              <w:right w:val="single" w:color="000000" w:sz="4"/>
            </w:tcBorders>
            <w:vAlign w:val="top"/>
          </w:tcPr>
          <w:p>
            <w:pPr>
              <w:jc w:val="center"/>
            </w:pPr>
            <w:r>
              <w:rPr>
                <w:b/>
                <w:sz w:val="21"/>
              </w:rPr>
              <w:t>小计</w:t>
            </w:r>
            <w:r>
              <w:rPr>
                <w:b/>
                <w:sz w:val="21"/>
              </w:rPr>
              <w:t>3</w:t>
            </w:r>
          </w:p>
        </w:tc>
        <w:tc>
          <w:tcPr>
            <w:tcW w:type="dxa" w:w="2485"/>
            <w:tcBorders>
              <w:top w:val="none" w:color="000000" w:sz="4"/>
              <w:left w:val="single" w:color="000000" w:sz="4"/>
              <w:bottom w:val="single" w:color="000000" w:sz="4"/>
              <w:right w:val="single" w:color="000000" w:sz="4"/>
            </w:tcBorders>
            <w:vAlign w:val="top"/>
          </w:tcPr>
          <w:p>
            <w:pPr>
              <w:jc w:val="center"/>
            </w:pPr>
            <w:r>
              <w:rPr>
                <w:b/>
                <w:sz w:val="21"/>
                <w:u w:val="single"/>
              </w:rPr>
              <w:t xml:space="preserve">       </w:t>
            </w:r>
            <w:r>
              <w:rPr>
                <w:b/>
                <w:sz w:val="21"/>
              </w:rPr>
              <w:t>元</w:t>
            </w:r>
          </w:p>
        </w:tc>
      </w:tr>
      <w:tr>
        <w:tc>
          <w:tcPr>
            <w:tcW w:type="dxa" w:w="901"/>
            <w:vMerge w:val="restart"/>
            <w:tcBorders>
              <w:top w:val="none" w:color="000000" w:sz="4"/>
              <w:left w:val="single" w:color="000000" w:sz="4"/>
              <w:bottom w:val="single" w:color="000000" w:sz="4"/>
              <w:right w:val="single" w:color="000000" w:sz="4"/>
            </w:tcBorders>
            <w:vAlign w:val="top"/>
          </w:tcPr>
          <w:p>
            <w:pPr>
              <w:jc w:val="center"/>
            </w:pPr>
            <w:r>
              <w:rPr>
                <w:b/>
                <w:sz w:val="21"/>
              </w:rPr>
              <w:t>新兴县</w:t>
            </w:r>
            <w:r>
              <w:rPr>
                <w:b/>
                <w:sz w:val="21"/>
              </w:rPr>
              <w:t>2023年度耕地卫片监督</w:t>
            </w:r>
          </w:p>
        </w:tc>
        <w:tc>
          <w:tcPr>
            <w:tcW w:type="dxa" w:w="437"/>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521"/>
            <w:tcBorders>
              <w:top w:val="none" w:color="000000" w:sz="4"/>
              <w:left w:val="single" w:color="000000" w:sz="4"/>
              <w:bottom w:val="single" w:color="000000" w:sz="4"/>
              <w:right w:val="single" w:color="000000" w:sz="4"/>
            </w:tcBorders>
            <w:vAlign w:val="top"/>
          </w:tcPr>
          <w:p>
            <w:pPr>
              <w:jc w:val="center"/>
            </w:pPr>
            <w:r>
              <w:rPr>
                <w:sz w:val="21"/>
              </w:rPr>
              <w:t>外业实地举证</w:t>
            </w:r>
          </w:p>
        </w:tc>
        <w:tc>
          <w:tcPr>
            <w:tcW w:type="dxa" w:w="1009"/>
            <w:tcBorders>
              <w:top w:val="single" w:color="000000" w:sz="4"/>
              <w:left w:val="single" w:color="000000" w:sz="4"/>
              <w:bottom w:val="single" w:color="000000" w:sz="4"/>
              <w:right w:val="single" w:color="000000" w:sz="4"/>
            </w:tcBorders>
            <w:vAlign w:val="top"/>
          </w:tcPr>
          <w:p>
            <w:pPr>
              <w:jc w:val="center"/>
            </w:pPr>
            <w:r>
              <w:rPr>
                <w:sz w:val="21"/>
              </w:rPr>
              <w:t>个</w:t>
            </w:r>
          </w:p>
        </w:tc>
        <w:tc>
          <w:tcPr>
            <w:tcW w:type="dxa" w:w="1009"/>
            <w:tcBorders>
              <w:top w:val="single" w:color="000000" w:sz="4"/>
              <w:left w:val="single" w:color="000000" w:sz="4"/>
              <w:bottom w:val="single" w:color="000000" w:sz="4"/>
              <w:right w:val="single" w:color="000000" w:sz="4"/>
            </w:tcBorders>
            <w:vAlign w:val="top"/>
          </w:tcPr>
          <w:p>
            <w:pPr>
              <w:jc w:val="center"/>
            </w:pPr>
            <w:r>
              <w:rPr>
                <w:sz w:val="21"/>
              </w:rPr>
              <w:t>预估数：</w:t>
            </w:r>
            <w:r>
              <w:rPr>
                <w:sz w:val="21"/>
              </w:rPr>
              <w:t>1100</w:t>
            </w:r>
          </w:p>
        </w:tc>
        <w:tc>
          <w:tcPr>
            <w:tcW w:type="dxa" w:w="944"/>
            <w:tcBorders>
              <w:top w:val="single" w:color="000000" w:sz="4"/>
              <w:left w:val="single" w:color="000000" w:sz="4"/>
              <w:bottom w:val="single" w:color="000000" w:sz="4"/>
              <w:right w:val="single" w:color="000000" w:sz="4"/>
            </w:tcBorders>
            <w:vAlign w:val="top"/>
          </w:tcPr>
          <w:p>
            <w:pPr>
              <w:jc w:val="center"/>
            </w:pPr>
            <w:r>
              <w:rPr>
                <w:sz w:val="21"/>
                <w:u w:val="single"/>
              </w:rPr>
              <w:t xml:space="preserve">   </w:t>
            </w:r>
            <w:r>
              <w:rPr>
                <w:sz w:val="21"/>
              </w:rPr>
              <w:t>元</w:t>
            </w:r>
            <w:r>
              <w:rPr>
                <w:sz w:val="21"/>
              </w:rPr>
              <w:t>/个</w:t>
            </w:r>
          </w:p>
        </w:tc>
        <w:tc>
          <w:tcPr>
            <w:tcW w:type="dxa" w:w="2485"/>
            <w:tcBorders>
              <w:top w:val="single" w:color="000000" w:sz="4"/>
              <w:left w:val="single" w:color="000000" w:sz="4"/>
              <w:bottom w:val="single" w:color="000000" w:sz="4"/>
              <w:right w:val="single" w:color="000000" w:sz="4"/>
            </w:tcBorders>
            <w:vAlign w:val="top"/>
          </w:tcPr>
          <w:p>
            <w:pPr>
              <w:jc w:val="center"/>
            </w:pPr>
            <w:r>
              <w:rPr>
                <w:sz w:val="21"/>
                <w:u w:val="single"/>
              </w:rPr>
              <w:t xml:space="preserve">       </w:t>
            </w:r>
            <w:r>
              <w:rPr>
                <w:sz w:val="21"/>
              </w:rPr>
              <w:t>元</w:t>
            </w:r>
          </w:p>
        </w:tc>
      </w:tr>
      <w:tr>
        <w:tc>
          <w:tcPr>
            <w:tcW w:type="dxa" w:w="901"/>
            <w:vMerge/>
            <w:tcBorders>
              <w:top w:val="none" w:color="000000" w:sz="4"/>
              <w:left w:val="single" w:color="000000" w:sz="4"/>
              <w:bottom w:val="single" w:color="000000" w:sz="4"/>
              <w:right w:val="single" w:color="000000" w:sz="4"/>
            </w:tcBorders>
          </w:tcPr>
          <w:p/>
        </w:tc>
        <w:tc>
          <w:tcPr>
            <w:tcW w:type="dxa" w:w="4920"/>
            <w:gridSpan w:val="5"/>
            <w:tcBorders>
              <w:top w:val="none" w:color="000000" w:sz="4"/>
              <w:left w:val="single" w:color="000000" w:sz="4"/>
              <w:bottom w:val="single" w:color="000000" w:sz="4"/>
              <w:right w:val="single" w:color="000000" w:sz="4"/>
            </w:tcBorders>
            <w:vAlign w:val="top"/>
          </w:tcPr>
          <w:p>
            <w:pPr>
              <w:jc w:val="center"/>
            </w:pPr>
            <w:r>
              <w:rPr>
                <w:b/>
                <w:sz w:val="21"/>
              </w:rPr>
              <w:t>小计</w:t>
            </w:r>
            <w:r>
              <w:rPr>
                <w:b/>
                <w:sz w:val="21"/>
              </w:rPr>
              <w:t>4</w:t>
            </w:r>
          </w:p>
        </w:tc>
        <w:tc>
          <w:tcPr>
            <w:tcW w:type="dxa" w:w="2485"/>
            <w:tcBorders>
              <w:top w:val="none" w:color="000000" w:sz="4"/>
              <w:left w:val="single" w:color="000000" w:sz="4"/>
              <w:bottom w:val="single" w:color="000000" w:sz="4"/>
              <w:right w:val="single" w:color="000000" w:sz="4"/>
            </w:tcBorders>
            <w:vAlign w:val="top"/>
          </w:tcPr>
          <w:p>
            <w:pPr>
              <w:jc w:val="center"/>
            </w:pPr>
            <w:r>
              <w:rPr>
                <w:b/>
                <w:sz w:val="21"/>
                <w:u w:val="single"/>
              </w:rPr>
              <w:t xml:space="preserve">       </w:t>
            </w:r>
            <w:r>
              <w:rPr>
                <w:b/>
                <w:sz w:val="21"/>
              </w:rPr>
              <w:t>元</w:t>
            </w:r>
          </w:p>
        </w:tc>
      </w:tr>
      <w:tr>
        <w:tc>
          <w:tcPr>
            <w:tcW w:type="dxa" w:w="5821"/>
            <w:gridSpan w:val="6"/>
            <w:tcBorders>
              <w:top w:val="none" w:color="000000" w:sz="4"/>
              <w:left w:val="single" w:color="000000" w:sz="4"/>
              <w:bottom w:val="single" w:color="000000" w:sz="4"/>
              <w:right w:val="single" w:color="000000" w:sz="4"/>
            </w:tcBorders>
            <w:vAlign w:val="top"/>
          </w:tcPr>
          <w:p>
            <w:pPr>
              <w:jc w:val="center"/>
            </w:pPr>
            <w:r>
              <w:rPr>
                <w:b/>
                <w:sz w:val="21"/>
              </w:rPr>
              <w:t>合同价款（小计</w:t>
            </w:r>
            <w:r>
              <w:rPr>
                <w:b/>
                <w:sz w:val="21"/>
              </w:rPr>
              <w:t>1+小计2</w:t>
            </w:r>
            <w:r>
              <w:rPr>
                <w:b/>
                <w:sz w:val="21"/>
              </w:rPr>
              <w:t>+小计3+小计4</w:t>
            </w:r>
            <w:r>
              <w:rPr>
                <w:b/>
                <w:sz w:val="21"/>
              </w:rPr>
              <w:t>）</w:t>
            </w:r>
            <w:r>
              <w:rPr>
                <w:b/>
                <w:sz w:val="21"/>
              </w:rPr>
              <w:t>，</w:t>
            </w:r>
            <w:r>
              <w:rPr>
                <w:b/>
                <w:sz w:val="21"/>
              </w:rPr>
              <w:t>暂时定价</w:t>
            </w:r>
          </w:p>
        </w:tc>
        <w:tc>
          <w:tcPr>
            <w:tcW w:type="dxa" w:w="2485"/>
            <w:tcBorders>
              <w:top w:val="none" w:color="000000" w:sz="4"/>
              <w:left w:val="single" w:color="000000" w:sz="4"/>
              <w:bottom w:val="single" w:color="000000" w:sz="4"/>
              <w:right w:val="single" w:color="000000" w:sz="4"/>
            </w:tcBorders>
            <w:vAlign w:val="top"/>
          </w:tcPr>
          <w:p>
            <w:r>
              <w:rPr>
                <w:b/>
                <w:sz w:val="21"/>
              </w:rPr>
              <w:t>大写：人民币</w:t>
            </w:r>
            <w:r>
              <w:rPr>
                <w:b/>
                <w:sz w:val="21"/>
                <w:u w:val="single"/>
              </w:rPr>
              <w:t xml:space="preserve">    </w:t>
            </w:r>
            <w:r>
              <w:rPr>
                <w:b/>
                <w:sz w:val="21"/>
                <w:u w:val="single"/>
              </w:rPr>
              <w:t xml:space="preserve">   </w:t>
            </w:r>
            <w:r>
              <w:rPr>
                <w:b/>
                <w:sz w:val="21"/>
                <w:u w:val="single"/>
              </w:rPr>
              <w:t xml:space="preserve">       </w:t>
            </w:r>
          </w:p>
          <w:p>
            <w:r>
              <w:rPr>
                <w:b/>
                <w:sz w:val="21"/>
              </w:rPr>
              <w:t>小写：</w:t>
            </w:r>
            <w:r>
              <w:rPr>
                <w:b/>
                <w:sz w:val="21"/>
              </w:rPr>
              <w:t>¥</w:t>
            </w:r>
            <w:r>
              <w:rPr>
                <w:b/>
                <w:sz w:val="21"/>
                <w:u w:val="single"/>
              </w:rPr>
              <w:t xml:space="preserve">        </w:t>
            </w:r>
            <w:r>
              <w:rPr>
                <w:b/>
                <w:sz w:val="21"/>
                <w:u w:val="single"/>
              </w:rPr>
              <w:t xml:space="preserve">   </w:t>
            </w:r>
            <w:r>
              <w:rPr>
                <w:b/>
                <w:sz w:val="21"/>
                <w:u w:val="single"/>
              </w:rPr>
              <w:t xml:space="preserve">       </w:t>
            </w:r>
          </w:p>
        </w:tc>
      </w:tr>
    </w:tbl>
    <w:p>
      <w:pPr>
        <w:jc w:val="left"/>
      </w:pPr>
      <w:r>
        <w:rPr>
          <w:b/>
          <w:sz w:val="21"/>
        </w:rPr>
        <w:t>注：</w:t>
      </w:r>
    </w:p>
    <w:p>
      <w:pPr>
        <w:jc w:val="left"/>
      </w:pPr>
      <w:r>
        <w:rPr>
          <w:b/>
          <w:sz w:val="21"/>
        </w:rPr>
        <w:t>1、上表中“县级外业调查”、“外业调查、实地举证”</w:t>
      </w:r>
      <w:r>
        <w:rPr>
          <w:b/>
          <w:sz w:val="21"/>
        </w:rPr>
        <w:t>、</w:t>
      </w:r>
      <w:r>
        <w:rPr>
          <w:b/>
          <w:sz w:val="21"/>
        </w:rPr>
        <w:t>“图斑判定”、“底图制作”、“实地举证”、“</w:t>
      </w:r>
      <w:r>
        <w:rPr>
          <w:b/>
          <w:sz w:val="21"/>
        </w:rPr>
        <w:t>外业实地举证</w:t>
      </w:r>
      <w:r>
        <w:rPr>
          <w:b/>
          <w:sz w:val="21"/>
        </w:rPr>
        <w:t>”</w:t>
      </w:r>
      <w:r>
        <w:rPr>
          <w:b/>
          <w:sz w:val="21"/>
        </w:rPr>
        <w:t>的工作量为预估数，如乙方实际完成的工作量小于预估数的，则根据</w:t>
      </w:r>
      <w:r>
        <w:rPr>
          <w:b/>
          <w:sz w:val="21"/>
        </w:rPr>
        <w:t>“县级外业调查”、“外业调查、实地举证”、“图斑判定”、“底图制作”、“实地举证”</w:t>
      </w:r>
      <w:r>
        <w:rPr>
          <w:b/>
          <w:sz w:val="21"/>
        </w:rPr>
        <w:t>、</w:t>
      </w:r>
      <w:r>
        <w:rPr>
          <w:b/>
          <w:sz w:val="21"/>
        </w:rPr>
        <w:t>“</w:t>
      </w:r>
      <w:r>
        <w:rPr>
          <w:b/>
          <w:sz w:val="21"/>
        </w:rPr>
        <w:t>外业实地举证</w:t>
      </w:r>
      <w:r>
        <w:rPr>
          <w:b/>
          <w:sz w:val="21"/>
        </w:rPr>
        <w:t>”</w:t>
      </w:r>
      <w:r>
        <w:rPr>
          <w:b/>
          <w:sz w:val="21"/>
        </w:rPr>
        <w:t>的合同单价及实际完成的工作量进行按实结算；如乙方实际完成的工作量大于预估数的，乙方须按</w:t>
      </w:r>
      <w:r>
        <w:rPr>
          <w:b/>
          <w:sz w:val="21"/>
        </w:rPr>
        <w:t>“县级外业调查”、“外业调查、实地举证”、“图斑判定”、“底图制作”、“实地举证”</w:t>
      </w:r>
      <w:r>
        <w:rPr>
          <w:b/>
          <w:sz w:val="21"/>
        </w:rPr>
        <w:t>、</w:t>
      </w:r>
      <w:r>
        <w:rPr>
          <w:b/>
          <w:sz w:val="21"/>
        </w:rPr>
        <w:t>“</w:t>
      </w:r>
      <w:r>
        <w:rPr>
          <w:b/>
          <w:sz w:val="21"/>
        </w:rPr>
        <w:t>外业实地举证</w:t>
      </w:r>
      <w:r>
        <w:rPr>
          <w:b/>
          <w:sz w:val="21"/>
        </w:rPr>
        <w:t>”</w:t>
      </w:r>
      <w:r>
        <w:rPr>
          <w:b/>
          <w:sz w:val="21"/>
        </w:rPr>
        <w:t>工作项的合同分项价格以包干形式完成所有</w:t>
      </w:r>
      <w:r>
        <w:rPr>
          <w:b/>
          <w:sz w:val="21"/>
        </w:rPr>
        <w:t>“县级外业调查”、“外业调查、实地举证”、“图斑判定”、“底图制作”、“实地举证”</w:t>
      </w:r>
      <w:r>
        <w:rPr>
          <w:b/>
          <w:sz w:val="21"/>
        </w:rPr>
        <w:t>、</w:t>
      </w:r>
      <w:r>
        <w:rPr>
          <w:b/>
          <w:sz w:val="21"/>
        </w:rPr>
        <w:t>“</w:t>
      </w:r>
      <w:r>
        <w:rPr>
          <w:b/>
          <w:sz w:val="21"/>
        </w:rPr>
        <w:t>外业实地举证</w:t>
      </w:r>
      <w:r>
        <w:rPr>
          <w:b/>
          <w:sz w:val="21"/>
        </w:rPr>
        <w:t>”</w:t>
      </w:r>
      <w:r>
        <w:rPr>
          <w:b/>
          <w:sz w:val="21"/>
        </w:rPr>
        <w:t>工作，</w:t>
      </w:r>
      <w:r>
        <w:rPr>
          <w:b/>
          <w:sz w:val="21"/>
        </w:rPr>
        <w:t>甲方</w:t>
      </w:r>
      <w:r>
        <w:rPr>
          <w:b/>
          <w:sz w:val="21"/>
        </w:rPr>
        <w:t>将不再为此另行支付任何费用。</w:t>
      </w:r>
    </w:p>
    <w:p>
      <w:pPr>
        <w:jc w:val="left"/>
      </w:pPr>
      <w:r>
        <w:rPr>
          <w:b/>
          <w:sz w:val="21"/>
        </w:rPr>
        <w:t>2、“新兴县2023年度卫片执法技术服务”中“资料收集及设备准备”、“数据整理上报”、“报告编写”工作项的工作量也为预估数，结算时根据该工作项的合同单价及实际完成的工作量进行按实结算。</w:t>
      </w:r>
    </w:p>
    <w:p>
      <w:pPr>
        <w:jc w:val="left"/>
      </w:pPr>
      <w:r>
        <w:rPr>
          <w:b/>
          <w:sz w:val="21"/>
        </w:rPr>
        <w:t>3</w:t>
      </w:r>
      <w:r>
        <w:rPr>
          <w:b/>
          <w:sz w:val="21"/>
        </w:rPr>
        <w:t>、除</w:t>
      </w:r>
      <w:r>
        <w:rPr>
          <w:b/>
          <w:sz w:val="21"/>
        </w:rPr>
        <w:t>“县级外业调查”、“外业调查、实地举证”、</w:t>
      </w:r>
      <w:r>
        <w:rPr>
          <w:b/>
          <w:sz w:val="21"/>
        </w:rPr>
        <w:t>“资料收集及设备准备”、</w:t>
      </w:r>
      <w:r>
        <w:rPr>
          <w:b/>
          <w:sz w:val="21"/>
        </w:rPr>
        <w:t>“图斑判定”、“底图制作”、“实地举证”</w:t>
      </w:r>
      <w:r>
        <w:rPr>
          <w:b/>
          <w:sz w:val="21"/>
        </w:rPr>
        <w:t>、</w:t>
      </w:r>
      <w:r>
        <w:rPr>
          <w:b/>
          <w:sz w:val="21"/>
        </w:rPr>
        <w:t>“数据整理上报”、“报告编写”、“</w:t>
      </w:r>
      <w:r>
        <w:rPr>
          <w:b/>
          <w:sz w:val="21"/>
        </w:rPr>
        <w:t>外业实地举证</w:t>
      </w:r>
      <w:r>
        <w:rPr>
          <w:b/>
          <w:sz w:val="21"/>
        </w:rPr>
        <w:t>”</w:t>
      </w:r>
      <w:r>
        <w:rPr>
          <w:b/>
          <w:sz w:val="21"/>
        </w:rPr>
        <w:t>工作项外，其它工作项均按其合同金额包干。</w:t>
      </w:r>
    </w:p>
    <w:p>
      <w:pPr>
        <w:jc w:val="left"/>
      </w:pPr>
      <w:r>
        <w:rPr>
          <w:b/>
          <w:sz w:val="21"/>
        </w:rPr>
        <w:t>4</w:t>
      </w:r>
      <w:r>
        <w:rPr>
          <w:b/>
          <w:sz w:val="21"/>
        </w:rPr>
        <w:t>、项目实施过程中如省厅下达新的文件要求，</w:t>
      </w:r>
      <w:r>
        <w:rPr>
          <w:b/>
          <w:sz w:val="21"/>
        </w:rPr>
        <w:t>乙方</w:t>
      </w:r>
      <w:r>
        <w:rPr>
          <w:b/>
          <w:sz w:val="21"/>
        </w:rPr>
        <w:t>都必须以其</w:t>
      </w:r>
      <w:r>
        <w:rPr>
          <w:b/>
          <w:sz w:val="21"/>
        </w:rPr>
        <w:t>合同</w:t>
      </w:r>
      <w:r>
        <w:rPr>
          <w:b/>
          <w:sz w:val="21"/>
        </w:rPr>
        <w:t>金额按要求完成所有工作，</w:t>
      </w:r>
      <w:r>
        <w:rPr>
          <w:b/>
          <w:sz w:val="21"/>
        </w:rPr>
        <w:t>甲方</w:t>
      </w:r>
      <w:r>
        <w:rPr>
          <w:b/>
          <w:sz w:val="21"/>
        </w:rPr>
        <w:t>将不再为此另行支付任何费用。</w:t>
      </w:r>
    </w:p>
    <w:p>
      <w:pPr>
        <w:jc w:val="both"/>
      </w:pPr>
      <w:r>
        <w:rPr>
          <w:b/>
          <w:sz w:val="21"/>
        </w:rPr>
        <w:t>二、服务</w:t>
      </w:r>
      <w:r>
        <w:rPr>
          <w:b/>
          <w:sz w:val="21"/>
        </w:rPr>
        <w:t>范围</w:t>
      </w:r>
    </w:p>
    <w:p>
      <w:r>
        <w:rPr>
          <w:sz w:val="21"/>
        </w:rPr>
        <w:t>1、本合同项下的服务指</w:t>
      </w:r>
      <w:r>
        <w:rPr>
          <w:sz w:val="21"/>
          <w:u w:val="single"/>
        </w:rPr>
        <w:t xml:space="preserve">                            </w:t>
      </w:r>
      <w:r>
        <w:rPr>
          <w:sz w:val="21"/>
        </w:rPr>
        <w:t>。</w:t>
      </w:r>
    </w:p>
    <w:p>
      <w:r>
        <w:rPr>
          <w:sz w:val="21"/>
        </w:rPr>
        <w:t>2、</w:t>
      </w:r>
      <w:r>
        <w:rPr>
          <w:sz w:val="21"/>
        </w:rPr>
        <w:t>……</w:t>
      </w:r>
    </w:p>
    <w:p>
      <w:r>
        <w:rPr>
          <w:sz w:val="21"/>
        </w:rPr>
        <w:t>3、</w:t>
      </w:r>
      <w:r>
        <w:rPr>
          <w:sz w:val="21"/>
        </w:rPr>
        <w:t>……</w:t>
      </w:r>
    </w:p>
    <w:p>
      <w:pPr>
        <w:jc w:val="both"/>
      </w:pPr>
      <w:r>
        <w:rPr>
          <w:b/>
          <w:sz w:val="21"/>
        </w:rPr>
        <w:t>三、履行期限、地点和方式</w:t>
      </w:r>
    </w:p>
    <w:p>
      <w:pPr>
        <w:ind w:firstLine="435"/>
      </w:pPr>
      <w:r>
        <w:rPr>
          <w:sz w:val="21"/>
        </w:rPr>
        <w:t>……</w:t>
      </w:r>
    </w:p>
    <w:p>
      <w:pPr>
        <w:jc w:val="both"/>
      </w:pPr>
      <w:r>
        <w:rPr>
          <w:b/>
          <w:sz w:val="21"/>
        </w:rPr>
        <w:t>四、</w:t>
      </w:r>
      <w:r>
        <w:rPr>
          <w:b/>
          <w:sz w:val="21"/>
        </w:rPr>
        <w:t>服务要求</w:t>
      </w:r>
    </w:p>
    <w:p>
      <w:pPr>
        <w:ind w:firstLine="435"/>
      </w:pPr>
      <w:r>
        <w:rPr>
          <w:sz w:val="21"/>
        </w:rPr>
        <w:t>……</w:t>
      </w:r>
    </w:p>
    <w:p>
      <w:pPr>
        <w:jc w:val="both"/>
      </w:pPr>
      <w:r>
        <w:rPr>
          <w:b/>
          <w:sz w:val="21"/>
        </w:rPr>
        <w:t>五、验收要求</w:t>
      </w:r>
    </w:p>
    <w:p>
      <w:pPr>
        <w:ind w:firstLine="435"/>
      </w:pPr>
      <w:r>
        <w:rPr>
          <w:sz w:val="21"/>
        </w:rPr>
        <w:t>……</w:t>
      </w:r>
    </w:p>
    <w:p>
      <w:pPr>
        <w:jc w:val="both"/>
      </w:pPr>
      <w:r>
        <w:rPr>
          <w:b/>
          <w:sz w:val="21"/>
        </w:rPr>
        <w:t>六、付款方式</w:t>
      </w:r>
    </w:p>
    <w:p>
      <w:pPr>
        <w:ind w:firstLine="435"/>
      </w:pPr>
      <w:r>
        <w:rPr>
          <w:sz w:val="21"/>
        </w:rPr>
        <w:t>……</w:t>
      </w:r>
    </w:p>
    <w:p>
      <w:r>
        <w:rPr>
          <w:sz w:val="21"/>
        </w:rPr>
        <w:t>注：甲方延迟支付乙方款项的，应当支付逾期利息，逾期利息的利率为</w:t>
      </w:r>
      <w:r>
        <w:rPr>
          <w:sz w:val="21"/>
          <w:u w:val="single"/>
        </w:rPr>
        <w:t xml:space="preserve">          </w:t>
      </w:r>
      <w:r>
        <w:rPr>
          <w:sz w:val="21"/>
        </w:rPr>
        <w:t>。（双方对逾期利息的利率有约定的，约定利率不得低于合同订立时</w:t>
      </w:r>
      <w:r>
        <w:rPr>
          <w:sz w:val="21"/>
        </w:rPr>
        <w:t>1年期贷款市场报价利率；未作约定的，按照每日利率万分之五支付逾期利息。）</w:t>
      </w:r>
    </w:p>
    <w:p>
      <w:pPr>
        <w:jc w:val="both"/>
      </w:pPr>
      <w:r>
        <w:rPr>
          <w:b/>
          <w:sz w:val="21"/>
        </w:rPr>
        <w:t>七、其他商务要求（如有）</w:t>
      </w:r>
    </w:p>
    <w:p>
      <w:pPr>
        <w:ind w:firstLine="420"/>
        <w:jc w:val="both"/>
      </w:pPr>
      <w:r>
        <w:rPr>
          <w:sz w:val="21"/>
        </w:rPr>
        <w:t>……</w:t>
      </w:r>
    </w:p>
    <w:p>
      <w:pPr>
        <w:jc w:val="both"/>
      </w:pPr>
      <w:r>
        <w:rPr>
          <w:b/>
          <w:sz w:val="21"/>
        </w:rPr>
        <w:t>八、甲乙双方的权利和义务</w:t>
      </w:r>
    </w:p>
    <w:p>
      <w:r>
        <w:rPr>
          <w:sz w:val="21"/>
        </w:rPr>
        <w:t>1、</w:t>
      </w:r>
      <w:r>
        <w:rPr>
          <w:sz w:val="21"/>
        </w:rPr>
        <w:t>甲方的权利和义务</w:t>
      </w:r>
    </w:p>
    <w:p>
      <w:pPr>
        <w:ind w:firstLine="420"/>
      </w:pPr>
      <w:r>
        <w:rPr>
          <w:sz w:val="21"/>
        </w:rPr>
        <w:t>……</w:t>
      </w:r>
    </w:p>
    <w:p>
      <w:r>
        <w:rPr>
          <w:sz w:val="21"/>
        </w:rPr>
        <w:t>2、</w:t>
      </w:r>
      <w:r>
        <w:rPr>
          <w:sz w:val="21"/>
        </w:rPr>
        <w:t>乙方的权利和义务</w:t>
      </w:r>
    </w:p>
    <w:p>
      <w:pPr>
        <w:ind w:firstLine="420"/>
      </w:pPr>
      <w:r>
        <w:rPr>
          <w:sz w:val="21"/>
        </w:rPr>
        <w:t>……</w:t>
      </w:r>
    </w:p>
    <w:p>
      <w:r>
        <w:rPr>
          <w:b/>
          <w:sz w:val="21"/>
        </w:rPr>
        <w:t>九、违约责任</w:t>
      </w:r>
    </w:p>
    <w:p>
      <w:pPr>
        <w:ind w:firstLine="420"/>
      </w:pPr>
      <w:r>
        <w:rPr>
          <w:sz w:val="21"/>
        </w:rPr>
        <w:t>……</w:t>
      </w:r>
    </w:p>
    <w:p>
      <w:r>
        <w:rPr>
          <w:b/>
          <w:sz w:val="21"/>
        </w:rPr>
        <w:t>十、其他条款（如有需要，甲乙双方可根据实际增加合同条款）</w:t>
      </w:r>
    </w:p>
    <w:p>
      <w:pPr>
        <w:ind w:firstLine="420"/>
      </w:pPr>
      <w:r>
        <w:rPr>
          <w:sz w:val="21"/>
        </w:rPr>
        <w:t>……</w:t>
      </w:r>
    </w:p>
    <w:p>
      <w:r>
        <w:rPr>
          <w:b/>
          <w:sz w:val="21"/>
        </w:rPr>
        <w:t>十一、合同变更</w:t>
      </w:r>
    </w:p>
    <w:p>
      <w:r>
        <w:rPr>
          <w:sz w:val="21"/>
        </w:rPr>
        <w:t>1、乙方根据现场实际情况，发现合同原计划或方案不尽合理，确实需变更原合同约定的，应及时通知甲方，并提出变更理由、修正方案及变更清单，经双方协商并签署有关文件（作为合同附件），并报政府采购监管部门同意后实施。</w:t>
      </w:r>
    </w:p>
    <w:p>
      <w:r>
        <w:rPr>
          <w:sz w:val="21"/>
        </w:rPr>
        <w:t>2、无论是按原合同要求，或是根据现场实际情况作出变更，乙方都不能免除其应承担的责任。</w:t>
      </w:r>
    </w:p>
    <w:p>
      <w:r>
        <w:rPr>
          <w:b/>
          <w:sz w:val="21"/>
        </w:rPr>
        <w:t>十二、合同解除和终止</w:t>
      </w:r>
    </w:p>
    <w:p>
      <w:r>
        <w:rPr>
          <w:sz w:val="21"/>
        </w:rPr>
        <w:t>1、合同自然终止</w:t>
      </w:r>
    </w:p>
    <w:p>
      <w:pPr>
        <w:ind w:firstLine="525"/>
      </w:pPr>
      <w:r>
        <w:rPr>
          <w:sz w:val="21"/>
        </w:rPr>
        <w:t>甲乙双方各自完成合同规定的责任和义务，合同自然终止。</w:t>
      </w:r>
    </w:p>
    <w:p>
      <w:r>
        <w:rPr>
          <w:sz w:val="21"/>
        </w:rPr>
        <w:t>2、违约违规终止合同</w:t>
      </w:r>
    </w:p>
    <w:p>
      <w:r>
        <w:rPr>
          <w:sz w:val="21"/>
        </w:rPr>
        <w:t>（</w:t>
      </w:r>
      <w:r>
        <w:rPr>
          <w:sz w:val="21"/>
        </w:rPr>
        <w:t>1）在甲方对乙方违约违规而采取的任何补救措施不受影响的情况下，甲方可向乙方发出书面的违约通知书，提出终止部分或全部合同。</w:t>
      </w:r>
    </w:p>
    <w:p>
      <w:r>
        <w:rPr>
          <w:sz w:val="21"/>
        </w:rPr>
        <w:t>（</w:t>
      </w:r>
      <w:r>
        <w:rPr>
          <w:sz w:val="21"/>
        </w:rPr>
        <w:t>2）如果乙方未能在合同规定的期限内提供服务。</w:t>
      </w:r>
    </w:p>
    <w:p>
      <w:r>
        <w:rPr>
          <w:sz w:val="21"/>
        </w:rPr>
        <w:t>（</w:t>
      </w:r>
      <w:r>
        <w:rPr>
          <w:sz w:val="21"/>
        </w:rPr>
        <w:t>3）如果乙方未能履行合同规定的其它任何义务。</w:t>
      </w:r>
    </w:p>
    <w:p>
      <w:r>
        <w:rPr>
          <w:sz w:val="21"/>
        </w:rPr>
        <w:t>（</w:t>
      </w:r>
      <w:r>
        <w:rPr>
          <w:sz w:val="21"/>
        </w:rPr>
        <w:t>4）如果甲方认为乙方在本合同的投标竞争和实施过程中有违反有关政府采购的法律、法规，涉嫌用不正当手段影响甲方采购过程，包括谎报或隐瞒事实、损害甲方利益、干扰甲方、评委、采购代理机构的招标、评标等行为。</w:t>
      </w:r>
    </w:p>
    <w:p>
      <w:r>
        <w:rPr>
          <w:sz w:val="21"/>
        </w:rPr>
        <w:t>3、因乙方破产而终止合同</w:t>
      </w:r>
    </w:p>
    <w:p>
      <w:pPr>
        <w:ind w:firstLine="420"/>
      </w:pPr>
      <w:r>
        <w:rPr>
          <w:sz w:val="21"/>
        </w:rPr>
        <w:t>如果乙方破产或无清偿能力，甲方可在任何时候以书面形式通知乙方，提出终止合同而不给乙方补偿。该合同的终止将不损害或影响甲方已经采取或将要采取的任何行动或补救措施的权利。</w:t>
      </w:r>
    </w:p>
    <w:p>
      <w:r>
        <w:rPr>
          <w:b/>
          <w:sz w:val="21"/>
        </w:rPr>
        <w:t>十三、争议的解决</w:t>
      </w:r>
    </w:p>
    <w:p>
      <w:pPr>
        <w:ind w:firstLine="420"/>
      </w:pPr>
      <w:r>
        <w:rPr>
          <w:sz w:val="21"/>
        </w:rPr>
        <w:t>合同执行过程中发生的任何争议，如双方不能通过友好协商解决，按相关法律法规处理。</w:t>
      </w:r>
    </w:p>
    <w:p>
      <w:r>
        <w:rPr>
          <w:b/>
          <w:sz w:val="21"/>
        </w:rPr>
        <w:t>十四、不可抗力</w:t>
      </w:r>
    </w:p>
    <w:p>
      <w:pPr>
        <w:ind w:firstLine="411"/>
      </w:pPr>
      <w:r>
        <w:rPr>
          <w:sz w:val="21"/>
        </w:rPr>
        <w:t>任何一方由于不可抗力原因不能履行合同时，应在不可抗力事件结束后</w:t>
      </w:r>
      <w:r>
        <w:rPr>
          <w:sz w:val="21"/>
        </w:rPr>
        <w:t>1日内向对方通报，以减轻可能给对方造成的损失，在取得有关机构的不可抗力证明或对方谅解确认后，允许延期履行或修订合同，并根据情况可部分或全部免于承担违约责任。</w:t>
      </w:r>
    </w:p>
    <w:p>
      <w:r>
        <w:rPr>
          <w:b/>
          <w:sz w:val="21"/>
        </w:rPr>
        <w:t>十五、税费</w:t>
      </w:r>
    </w:p>
    <w:p>
      <w:pPr>
        <w:ind w:firstLine="411"/>
      </w:pPr>
      <w:r>
        <w:rPr>
          <w:sz w:val="21"/>
        </w:rPr>
        <w:t>在中国境内、外发生的与本合同执行有关的一切税费均由乙方负担。</w:t>
      </w:r>
    </w:p>
    <w:p>
      <w:r>
        <w:rPr>
          <w:b/>
          <w:sz w:val="21"/>
        </w:rPr>
        <w:t>十六、其它</w:t>
      </w:r>
    </w:p>
    <w:p>
      <w:pPr>
        <w:jc w:val="both"/>
      </w:pPr>
      <w:r>
        <w:rPr>
          <w:sz w:val="21"/>
        </w:rPr>
        <w:t>1、本项目磋商文件、响应文件、成交通知书及本合同所有附件均为合同的有效组成部分，与本合同具有同等法律效力。</w:t>
      </w:r>
    </w:p>
    <w:p>
      <w:pPr>
        <w:jc w:val="both"/>
      </w:pPr>
      <w:r>
        <w:rPr>
          <w:sz w:val="21"/>
        </w:rPr>
        <w:t>2、在执行本合同的过程中，所有经双方签署确认的文件（包括会议纪要、补充协议、往来信函）即成为本合同的有效组成部分。</w:t>
      </w:r>
    </w:p>
    <w:p>
      <w:pPr>
        <w:jc w:val="both"/>
      </w:pPr>
      <w:r>
        <w:rPr>
          <w:sz w:val="21"/>
        </w:rPr>
        <w:t>3、如一方地址、电话、传真号码有变更，应在变更当日内书面通知对方，否则，应承担相应责任。</w:t>
      </w:r>
    </w:p>
    <w:p>
      <w:pPr>
        <w:jc w:val="both"/>
      </w:pPr>
      <w:r>
        <w:rPr>
          <w:sz w:val="21"/>
        </w:rPr>
        <w:t>4、除甲方事先书面同意外，乙方不得部分或全部转让其应履行的合同项下的义务。</w:t>
      </w:r>
    </w:p>
    <w:p>
      <w:r>
        <w:rPr>
          <w:b/>
          <w:sz w:val="21"/>
        </w:rPr>
        <w:t>十七、合同生效</w:t>
      </w:r>
    </w:p>
    <w:p>
      <w:pPr>
        <w:jc w:val="both"/>
      </w:pPr>
      <w:r>
        <w:rPr>
          <w:sz w:val="21"/>
        </w:rPr>
        <w:t>1、本合同在甲乙双方法定代表人或其授权代表签字盖章后生效，合同签署日期以较迟签注的日期为准。</w:t>
      </w:r>
    </w:p>
    <w:p>
      <w:pPr>
        <w:jc w:val="both"/>
      </w:pPr>
      <w:r>
        <w:rPr>
          <w:sz w:val="21"/>
        </w:rPr>
        <w:t>2、本合同一式</w:t>
      </w:r>
      <w:r>
        <w:rPr>
          <w:sz w:val="21"/>
          <w:u w:val="single"/>
        </w:rPr>
        <w:t xml:space="preserve">    </w:t>
      </w:r>
      <w:r>
        <w:rPr>
          <w:sz w:val="21"/>
        </w:rPr>
        <w:t>份，其中甲方</w:t>
      </w:r>
      <w:r>
        <w:rPr>
          <w:sz w:val="21"/>
          <w:u w:val="single"/>
        </w:rPr>
        <w:t xml:space="preserve">    </w:t>
      </w:r>
      <w:r>
        <w:rPr>
          <w:sz w:val="21"/>
        </w:rPr>
        <w:t>份，乙方</w:t>
      </w:r>
      <w:r>
        <w:rPr>
          <w:sz w:val="21"/>
          <w:u w:val="single"/>
        </w:rPr>
        <w:t xml:space="preserve">    </w:t>
      </w:r>
      <w:r>
        <w:rPr>
          <w:sz w:val="21"/>
        </w:rPr>
        <w:t>份，采购代理机构</w:t>
      </w:r>
      <w:r>
        <w:rPr>
          <w:sz w:val="21"/>
          <w:u w:val="single"/>
        </w:rPr>
        <w:t>1</w:t>
      </w:r>
      <w:r>
        <w:rPr>
          <w:sz w:val="21"/>
        </w:rPr>
        <w:t>份。</w:t>
      </w:r>
    </w:p>
    <w:p>
      <w:pPr>
        <w:jc w:val="both"/>
      </w:pPr>
    </w:p>
    <w:p>
      <w:r>
        <w:rPr/>
        <w:t xml:space="preserve"> </w:t>
      </w:r>
    </w:p>
    <w:p>
      <w:r>
        <w:rPr>
          <w:b/>
          <w:sz w:val="21"/>
        </w:rPr>
        <w:t>甲方（盖章）：</w:t>
      </w:r>
      <w:r>
        <w:rPr>
          <w:b/>
          <w:sz w:val="21"/>
        </w:rPr>
        <w:t xml:space="preserve">                              </w:t>
      </w:r>
      <w:r>
        <w:rPr>
          <w:b/>
          <w:sz w:val="21"/>
        </w:rPr>
        <w:t>乙方（盖章）：</w:t>
      </w:r>
    </w:p>
    <w:p>
      <w:r>
        <w:rPr>
          <w:b/>
          <w:sz w:val="21"/>
        </w:rPr>
        <w:t>法定代表人或委托人：</w:t>
      </w:r>
      <w:r>
        <w:rPr>
          <w:b/>
          <w:sz w:val="21"/>
        </w:rPr>
        <w:t xml:space="preserve">                       </w:t>
      </w:r>
      <w:r>
        <w:rPr>
          <w:b/>
          <w:sz w:val="21"/>
        </w:rPr>
        <w:t xml:space="preserve"> </w:t>
      </w:r>
      <w:r>
        <w:rPr>
          <w:b/>
          <w:sz w:val="21"/>
        </w:rPr>
        <w:t>法定代表人或委托人：</w:t>
      </w:r>
    </w:p>
    <w:p>
      <w:r>
        <w:rPr>
          <w:sz w:val="21"/>
        </w:rPr>
        <w:t>签订地点：</w:t>
      </w:r>
    </w:p>
    <w:p>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p>
    <w:p>
      <w:r>
        <w:rPr>
          <w:sz w:val="21"/>
        </w:rPr>
        <w:t xml:space="preserve">                                 开户名称：</w:t>
      </w:r>
    </w:p>
    <w:p>
      <w:r>
        <w:rPr>
          <w:sz w:val="21"/>
        </w:rPr>
        <w:t xml:space="preserve">                                 银行账号：</w:t>
      </w:r>
    </w:p>
    <w:p>
      <w:r>
        <w:rPr>
          <w:sz w:val="21"/>
        </w:rPr>
        <w:t xml:space="preserve">                                 开</w:t>
      </w:r>
      <w:r>
        <w:rPr>
          <w:sz w:val="21"/>
        </w:rPr>
        <w:t>户</w:t>
      </w:r>
      <w:r>
        <w:rPr>
          <w:sz w:val="21"/>
        </w:rPr>
        <w:t>行：</w:t>
      </w: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445321-2023-01103</w:t>
      </w:r>
    </w:p>
    <w:p>
      <w:pPr>
        <w:jc w:val="center"/>
      </w:pPr>
      <w:r>
        <w:rPr>
          <w:b/>
          <w:sz w:val="24"/>
        </w:rPr>
        <w:t>采购项目编号：</w:t>
      </w:r>
      <w:r>
        <w:rPr>
          <w:b/>
          <w:sz w:val="24"/>
        </w:rPr>
        <w:t>YFZC23FC0123</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云浮市中策招标咨询服务有限公司</w:t>
      </w:r>
    </w:p>
    <w:p>
      <w:pPr>
        <w:ind w:firstLine="480"/>
      </w:pPr>
      <w:r>
        <w:rPr/>
        <w:t>你方组织的</w:t>
      </w:r>
      <w:r>
        <w:rPr>
          <w:u w:val="single"/>
        </w:rPr>
        <w:t>“</w:t>
      </w:r>
      <w:r>
        <w:rPr>
          <w:u w:val="single"/>
        </w:rPr>
        <w:t>新兴县2023年度自然资源常态化监测、2023年度全国国土变更调查工作、2023年度卫片执法技术服务和2023年度耕地卫片监督项目</w:t>
      </w:r>
      <w:r>
        <w:rPr>
          <w:u w:val="single"/>
        </w:rPr>
        <w:t>”</w:t>
      </w:r>
      <w:r>
        <w:rPr/>
        <w:t>项目的竞争性磋商[采购项目编号为：</w:t>
      </w:r>
      <w:r>
        <w:rPr>
          <w:u w:val="single"/>
        </w:rPr>
        <w:t>YFZC23FC0123</w:t>
      </w:r>
      <w:r>
        <w:rPr/>
        <w:t>]，我方愿参与响应。</w:t>
      </w:r>
    </w:p>
    <w:p>
      <w:pPr>
        <w:ind w:firstLine="480"/>
      </w:pPr>
      <w:r>
        <w:rPr/>
        <w:t>我方确认收到贵方提供的</w:t>
      </w:r>
      <w:r>
        <w:rPr>
          <w:u w:val="single"/>
        </w:rPr>
        <w:t>“</w:t>
      </w:r>
      <w:r>
        <w:rPr>
          <w:u w:val="single"/>
        </w:rPr>
        <w:t>新兴县2023年度自然资源常态化监测、2023年度全国国土变更调查工作、2023年度卫片执法技术服务和2023年度耕地卫片监督项目</w:t>
      </w:r>
      <w:r>
        <w:rPr>
          <w:u w:val="single"/>
        </w:rPr>
        <w:t>”</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从提交投标（响应）文件的截止之日起60日历天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（九）我方接受采购人委托向贵方支付代理服务费，项目总报价已包含代理服务费，如果被确定为成交供应商，承诺向贵方足额支付。（若采购人支付代理服务费，则此条不适用）</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云浮市中策招标咨询服务有限公司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新兴县2023年度自然资源常态化监测、2023年度全国国土变更调查工作、2023年度卫片执法技术服务和2023年度耕地卫片监督项目</w:t>
      </w:r>
      <w:r>
        <w:rPr/>
        <w:t>”项目采购[采购项目编号为</w:t>
      </w:r>
      <w:r>
        <w:rPr/>
        <w:t>YFZC23FC0123</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新兴县自然资源局</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云浮市中策招标咨询服务有限公司</w:t>
      </w:r>
    </w:p>
    <w:p>
      <w:pPr>
        <w:ind w:firstLine="480"/>
      </w:pPr>
      <w:r>
        <w:rPr/>
        <w:t>我单位参加贵公司组织的</w:t>
      </w:r>
      <w:r>
        <w:rPr/>
        <w:t>新兴县2023年度自然资源常态化监测、2023年度全国国土变更调查工作、2023年度卫片执法技术服务和2023年度耕地卫片监督项目</w:t>
      </w:r>
      <w:r>
        <w:rPr/>
        <w:t>（采购项目编号：</w:t>
      </w:r>
      <w:r>
        <w:rPr/>
        <w:t>YFZC23FC0123</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3、如我公司被选为成交供应商，在成交结果公示后3日内向采购代理机构指定账户缴付代理服务费。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云浮市中策招标咨询服务有限公司</w:t>
      </w:r>
    </w:p>
    <w:p>
      <w:pPr>
        <w:ind w:firstLine="480"/>
      </w:pPr>
      <w:r>
        <w:rPr/>
        <w:t>我单位已登记并准备参与“</w:t>
      </w:r>
      <w:r>
        <w:rPr/>
        <w:t>新兴县2023年度自然资源常态化监测、2023年度全国国土变更调查工作、2023年度卫片执法技术服务和2023年度耕地卫片监督项目</w:t>
      </w:r>
      <w:r>
        <w:rPr/>
        <w:t>”项目（采购项目编号：</w:t>
      </w:r>
      <w:r>
        <w:rPr/>
        <w:t>YFZC23FC0123</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