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445321-2023-01155</w:t>
      </w:r>
    </w:p>
    <w:p>
      <w:pPr>
        <w:jc w:val="center"/>
      </w:pPr>
      <w:r>
        <w:rPr>
          <w:b/>
          <w:sz w:val="24"/>
        </w:rPr>
        <w:t>采购项目编号：</w:t>
      </w:r>
      <w:r>
        <w:rPr>
          <w:b/>
          <w:sz w:val="24"/>
        </w:rPr>
        <w:t>YFZC23FC0124</w:t>
      </w:r>
    </w:p>
    <w:p>
      <w:pPr>
        <w:jc w:val="center"/>
      </w:pPr>
      <w:r>
        <w:rPr>
          <w:b/>
          <w:sz w:val="24"/>
        </w:rPr>
        <w:t>项目名称：</w:t>
      </w:r>
      <w:r>
        <w:rPr>
          <w:b/>
          <w:sz w:val="24"/>
        </w:rPr>
        <w:t>首批新兴县村庄规划优化提升编制项目</w:t>
      </w:r>
    </w:p>
    <w:p>
      <w:pPr>
        <w:jc w:val="center"/>
      </w:pPr>
      <w:r>
        <w:rPr>
          <w:b/>
          <w:sz w:val="24"/>
        </w:rPr>
        <w:t>采购人：</w:t>
      </w:r>
      <w:r>
        <w:rPr>
          <w:b/>
          <w:sz w:val="24"/>
        </w:rPr>
        <w:t>新兴县自然资源局</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新兴县自然资源局</w:t>
      </w:r>
      <w:r>
        <w:rPr/>
        <w:t>的委托，采用</w:t>
      </w:r>
      <w:r>
        <w:rPr/>
        <w:t>竞争性磋商</w:t>
      </w:r>
      <w:r>
        <w:rPr/>
        <w:t>方式组织采购</w:t>
      </w:r>
      <w:r>
        <w:rPr/>
        <w:t>首批新兴县村庄规划优化提升编制项目</w:t>
      </w:r>
      <w:r>
        <w:rPr/>
        <w:t>。欢迎符合资格条件的供应商参加。</w:t>
      </w:r>
    </w:p>
    <w:p>
      <w:r>
        <w:rPr>
          <w:b/>
          <w:sz w:val="28"/>
        </w:rPr>
        <w:t>一.项目概述</w:t>
      </w:r>
    </w:p>
    <w:p>
      <w:r>
        <w:rPr>
          <w:b/>
          <w:sz w:val="24"/>
        </w:rPr>
        <w:t>1.名称与编号</w:t>
      </w:r>
    </w:p>
    <w:p>
      <w:pPr>
        <w:ind w:firstLine="480"/>
      </w:pPr>
      <w:r>
        <w:rPr/>
        <w:t>采购项目名称：</w:t>
      </w:r>
      <w:r>
        <w:rPr/>
        <w:t>首批新兴县村庄规划优化提升编制项目</w:t>
      </w:r>
    </w:p>
    <w:p>
      <w:pPr>
        <w:ind w:firstLine="480"/>
      </w:pPr>
      <w:r>
        <w:rPr/>
        <w:t>采购计划编号：</w:t>
      </w:r>
      <w:r>
        <w:rPr/>
        <w:t>445321-2023-01155</w:t>
      </w:r>
    </w:p>
    <w:p>
      <w:pPr>
        <w:ind w:firstLine="480"/>
      </w:pPr>
      <w:r>
        <w:rPr/>
        <w:t>采购项目编号：</w:t>
      </w:r>
      <w:r>
        <w:rPr/>
        <w:t>YFZC23FC0124</w:t>
      </w:r>
    </w:p>
    <w:p>
      <w:pPr>
        <w:ind w:firstLine="480"/>
      </w:pPr>
      <w:r>
        <w:rPr/>
        <w:t>采购方式：</w:t>
      </w:r>
      <w:r>
        <w:rPr/>
        <w:t>竞争性磋商</w:t>
      </w:r>
    </w:p>
    <w:p>
      <w:pPr>
        <w:ind w:firstLine="480"/>
      </w:pPr>
      <w:r>
        <w:rPr/>
        <w:t>预算金额：</w:t>
      </w:r>
      <w:r>
        <w:rPr/>
        <w:t>2,000,000.00</w:t>
      </w:r>
      <w:r>
        <w:rPr/>
        <w:t>元</w:t>
      </w:r>
    </w:p>
    <w:p>
      <w:r>
        <w:rPr>
          <w:b/>
          <w:sz w:val="24"/>
        </w:rPr>
        <w:t>2.项目内容及需求情况（采购项目技术规格、参数及要求）</w:t>
      </w:r>
    </w:p>
    <w:p>
      <w:pPr>
        <w:ind w:firstLine="480"/>
      </w:pPr>
    </w:p>
    <w:p/>
    <w:p>
      <w:r>
        <w:rPr/>
        <w:t>采购包1(首批新兴县村庄规划优化提升编制项目):</w:t>
      </w:r>
    </w:p>
    <w:p>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区域规划和设计服务</w:t>
            </w:r>
          </w:p>
        </w:tc>
        <w:tc>
          <w:tcPr>
            <w:tcW w:type="dxa" w:w="2052"/>
          </w:tcPr>
          <w:p>
            <w:r>
              <w:rPr/>
              <w:t>首批新兴县村庄规划优化提升编制项目</w:t>
            </w:r>
          </w:p>
        </w:tc>
        <w:tc>
          <w:tcPr>
            <w:tcW w:type="dxa" w:w="977"/>
          </w:tcPr>
          <w:p>
            <w:r>
              <w:rPr/>
              <w:t>1.00(项)</w:t>
            </w:r>
          </w:p>
        </w:tc>
        <w:tc>
          <w:tcPr>
            <w:tcW w:type="dxa" w:w="977"/>
          </w:tcPr>
          <w:p>
            <w:r>
              <w:rPr/>
              <w:t>详见第二章</w:t>
            </w:r>
          </w:p>
        </w:tc>
        <w:tc>
          <w:tcPr>
            <w:tcW w:type="dxa" w:w="977"/>
          </w:tcPr>
          <w:p>
            <w:r>
              <w:rPr/>
              <w:t>2,000,000.00</w:t>
            </w:r>
          </w:p>
        </w:tc>
        <w:tc>
          <w:tcPr>
            <w:tcW w:type="dxa" w:w="977"/>
          </w:tcPr>
          <w:p>
            <w:r>
              <w:rPr/>
              <w:t>否</w:t>
            </w:r>
          </w:p>
        </w:tc>
      </w:tr>
    </w:tbl>
    <w:p/>
    <w:p>
      <w:r>
        <w:rPr/>
        <w:t>本采购包不接受联合体响应</w:t>
      </w:r>
    </w:p>
    <w:p/>
    <w:p>
      <w:r>
        <w:rPr/>
        <w:t>合同履行期限：2023年11月30日前完成本项目</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1）具有独立承担民事责任的能力：提供法人或者其他组织的营业执照等证明文件复印件。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采购包1（首批新兴县村庄规划优化提升编制项目）：</w:t>
      </w:r>
      <w:r>
        <w:rPr/>
        <w:t>参与的供应商服务全部由符合政策要求的中小企业承接。</w:t>
      </w:r>
    </w:p>
    <w:p/>
    <w:p>
      <w:r>
        <w:rPr>
          <w:b/>
          <w:sz w:val="24"/>
        </w:rPr>
        <w:t>3.本项目特定的资格要求：</w:t>
      </w:r>
    </w:p>
    <w:p>
      <w:pPr>
        <w:ind w:firstLine="480"/>
      </w:pPr>
    </w:p>
    <w:p/>
    <w:p>
      <w:r>
        <w:rPr/>
        <w:t>采购包1（首批新兴县村庄规划优化提升编制项目）：</w:t>
      </w:r>
    </w:p>
    <w:p/>
    <w:p>
      <w:r>
        <w:rPr/>
        <w:t>1)（1）供应商须具备法律、行政法规规定的其他条件：在响应文件中提供声明函。 （2）供应商须是在中华人民共和国境内注册的具备独立承担民事责任能力的法人或其它组织。 （3）供应商须具有丙级或以上城乡规划编制资质证书，提供证书复印件并加盖供应商公章。（注：2021年7月1日前已审批或批准延续丙级城乡规划编制资质的供应商可提供有效期内的丙级城乡规划编制资质证书，除此情况外的供应商须提供有效期内的乙级或以上城乡规划编制资质证书。） （4）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（5）本项目不接受联合体参加投标，不允许转包和分包。 （6）本项目为一个整体，供应商须对全部内容进行投标，不得分拆。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新兴县自然资源局</w:t>
      </w:r>
    </w:p>
    <w:p>
      <w:pPr>
        <w:ind w:firstLine="480"/>
      </w:pPr>
      <w:r>
        <w:rPr/>
        <w:t>地址：</w:t>
      </w:r>
      <w:r>
        <w:rPr/>
        <w:t>新兴县新城镇广兴大道中31号</w:t>
      </w:r>
    </w:p>
    <w:p>
      <w:pPr>
        <w:ind w:firstLine="480"/>
      </w:pPr>
      <w:r>
        <w:rPr/>
        <w:t>联系方式：</w:t>
      </w:r>
      <w:r>
        <w:rPr/>
        <w:t>梁小姐 0766-2979721</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简先生 0766-2922133</w:t>
      </w:r>
    </w:p>
    <w:p>
      <w:r>
        <w:rPr>
          <w:b/>
          <w:sz w:val="24"/>
        </w:rPr>
        <w:t>3.项目联系方式</w:t>
      </w:r>
    </w:p>
    <w:p>
      <w:pPr>
        <w:ind w:firstLine="480"/>
      </w:pPr>
      <w:r>
        <w:rPr/>
        <w:t>项目联系人：</w:t>
      </w:r>
      <w:r>
        <w:rPr/>
        <w:t>简先生</w:t>
      </w:r>
    </w:p>
    <w:p>
      <w:pPr>
        <w:ind w:firstLine="480"/>
      </w:pPr>
      <w:r>
        <w:rPr/>
        <w:t>电话：</w:t>
      </w:r>
      <w:r>
        <w:rPr/>
        <w:t>简先生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pPr>
      <w:r>
        <w:rPr>
          <w:sz w:val="21"/>
        </w:rPr>
        <w:t>根据中共中央、国务院印发的《关于建立国土空间规划体系并监督实施的若干意见》，村庄规划定位为城镇开发边界外乡村地区的详细规划，是乡村地区开展国土空间开发保护活动、实施国土空间用途管制、核发城乡建设项目规划许可、进行各项建设等的法定依据。</w:t>
      </w:r>
    </w:p>
    <w:p>
      <w:pPr>
        <w:ind w:firstLine="420"/>
      </w:pPr>
      <w:r>
        <w:rPr>
          <w:sz w:val="21"/>
        </w:rPr>
        <w:t>按照《中央农办</w:t>
      </w:r>
      <w:r>
        <w:rPr>
          <w:sz w:val="21"/>
        </w:rPr>
        <w:t>农业农村部</w:t>
      </w:r>
      <w:r>
        <w:rPr>
          <w:sz w:val="21"/>
        </w:rPr>
        <w:t>自然资源部</w:t>
      </w:r>
      <w:r>
        <w:rPr>
          <w:sz w:val="21"/>
        </w:rPr>
        <w:t>国家发展改革委</w:t>
      </w:r>
      <w:r>
        <w:rPr>
          <w:sz w:val="21"/>
        </w:rPr>
        <w:t>财政部关于统筹推进村庄规划工作的意见》（农规发〔</w:t>
      </w:r>
      <w:r>
        <w:rPr>
          <w:sz w:val="21"/>
        </w:rPr>
        <w:t>2019〕1号）、《中共广东省委 广东省人民政府关于推进乡村振兴战略的实施意见》（粤发（2018）16号）等文件精神，根据广东省自然资源厅 广东省农业农村厅《广东省村庄规划全面优化提升三年行动计划》要求，按照《广东省村庄规划编制技术指南（试行）》等规范要求，为有序推进新兴县乡村振兴发展战略部署，做到“乡村振兴、规划先行”，需要对新兴县8条村开展规划优化和提升工作，加强与国土空间规划的衔接，实现百县千镇万村高质量发展及乡村振兴等目标。</w:t>
      </w:r>
    </w:p>
    <w:p>
      <w:pPr>
        <w:jc w:val="center"/>
      </w:pPr>
      <w:r>
        <w:rPr>
          <w:color w:val="000000"/>
          <w:sz w:val="21"/>
        </w:rPr>
        <w:t>新兴县过渡期村庄规划优化提升首批名单</w:t>
      </w:r>
    </w:p>
    <w:tbl>
      <w:tblPr>
        <w:tblW w:w="0" w:type="auto"/>
        <w:tblBorders>
          <w:top w:val="none" w:color="000000" w:sz="4"/>
          <w:left w:val="none" w:color="000000" w:sz="4"/>
          <w:bottom w:val="none" w:color="000000" w:sz="4"/>
          <w:right w:val="none" w:color="000000" w:sz="4"/>
          <w:insideH w:val="none"/>
          <w:insideV w:val="none"/>
        </w:tblBorders>
      </w:tblPr>
      <w:tblGrid>
        <w:gridCol w:w="730"/>
        <w:gridCol w:w="937"/>
        <w:gridCol w:w="1090"/>
        <w:gridCol w:w="2792"/>
        <w:gridCol w:w="2757"/>
      </w:tblGrid>
      <w:tr>
        <w:tc>
          <w:tcPr>
            <w:tcW w:type="dxa" w:w="730"/>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937"/>
            <w:tcBorders>
              <w:top w:val="single" w:color="000000" w:sz="4"/>
              <w:left w:val="single" w:color="000000" w:sz="4"/>
              <w:bottom w:val="single" w:color="000000" w:sz="4"/>
              <w:right w:val="single" w:color="000000" w:sz="4"/>
            </w:tcBorders>
            <w:vAlign w:val="top"/>
          </w:tcPr>
          <w:p>
            <w:pPr>
              <w:jc w:val="center"/>
            </w:pPr>
            <w:r>
              <w:rPr>
                <w:sz w:val="21"/>
              </w:rPr>
              <w:t>所在镇</w:t>
            </w:r>
          </w:p>
        </w:tc>
        <w:tc>
          <w:tcPr>
            <w:tcW w:type="dxa" w:w="1090"/>
            <w:tcBorders>
              <w:top w:val="single" w:color="000000" w:sz="4"/>
              <w:left w:val="single" w:color="000000" w:sz="4"/>
              <w:bottom w:val="single" w:color="000000" w:sz="4"/>
              <w:right w:val="single" w:color="000000" w:sz="4"/>
            </w:tcBorders>
            <w:vAlign w:val="top"/>
          </w:tcPr>
          <w:p>
            <w:pPr>
              <w:jc w:val="center"/>
            </w:pPr>
            <w:r>
              <w:rPr>
                <w:sz w:val="21"/>
              </w:rPr>
              <w:t>村庄名称</w:t>
            </w:r>
          </w:p>
        </w:tc>
        <w:tc>
          <w:tcPr>
            <w:tcW w:type="dxa" w:w="2792"/>
            <w:tcBorders>
              <w:top w:val="single" w:color="000000" w:sz="4"/>
              <w:left w:val="single" w:color="000000" w:sz="4"/>
              <w:bottom w:val="single" w:color="000000" w:sz="4"/>
              <w:right w:val="single" w:color="000000" w:sz="4"/>
            </w:tcBorders>
            <w:vAlign w:val="top"/>
          </w:tcPr>
          <w:p>
            <w:pPr>
              <w:jc w:val="center"/>
            </w:pPr>
            <w:r>
              <w:rPr>
                <w:sz w:val="21"/>
              </w:rPr>
              <w:t>过渡期空间需求保障方式</w:t>
            </w:r>
          </w:p>
        </w:tc>
        <w:tc>
          <w:tcPr>
            <w:tcW w:type="dxa" w:w="2757"/>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73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37"/>
            <w:tcBorders>
              <w:top w:val="none" w:color="000000" w:sz="4"/>
              <w:left w:val="single" w:color="000000" w:sz="4"/>
              <w:bottom w:val="single" w:color="000000" w:sz="4"/>
              <w:right w:val="single" w:color="000000" w:sz="4"/>
            </w:tcBorders>
            <w:vAlign w:val="top"/>
          </w:tcPr>
          <w:p>
            <w:pPr>
              <w:jc w:val="center"/>
            </w:pPr>
            <w:r>
              <w:rPr>
                <w:sz w:val="21"/>
              </w:rPr>
              <w:t>新城镇</w:t>
            </w:r>
          </w:p>
        </w:tc>
        <w:tc>
          <w:tcPr>
            <w:tcW w:type="dxa" w:w="1090"/>
            <w:tcBorders>
              <w:top w:val="none" w:color="000000" w:sz="4"/>
              <w:left w:val="single" w:color="000000" w:sz="4"/>
              <w:bottom w:val="single" w:color="000000" w:sz="4"/>
              <w:right w:val="single" w:color="000000" w:sz="4"/>
            </w:tcBorders>
            <w:vAlign w:val="top"/>
          </w:tcPr>
          <w:p>
            <w:pPr>
              <w:jc w:val="center"/>
            </w:pPr>
            <w:r>
              <w:rPr>
                <w:sz w:val="21"/>
              </w:rPr>
              <w:t>云吟村</w:t>
            </w:r>
          </w:p>
        </w:tc>
        <w:tc>
          <w:tcPr>
            <w:tcW w:type="dxa" w:w="2792"/>
            <w:tcBorders>
              <w:top w:val="none" w:color="000000" w:sz="4"/>
              <w:left w:val="single" w:color="000000" w:sz="4"/>
              <w:bottom w:val="single" w:color="000000" w:sz="4"/>
              <w:right w:val="single" w:color="000000" w:sz="4"/>
            </w:tcBorders>
            <w:vAlign w:val="top"/>
          </w:tcPr>
          <w:p>
            <w:pPr>
              <w:jc w:val="center"/>
            </w:pPr>
            <w:r>
              <w:rPr>
                <w:sz w:val="21"/>
              </w:rPr>
              <w:t>先编先批先用村庄</w:t>
            </w:r>
          </w:p>
        </w:tc>
        <w:tc>
          <w:tcPr>
            <w:tcW w:type="dxa" w:w="2757"/>
            <w:tcBorders>
              <w:top w:val="none" w:color="000000" w:sz="4"/>
              <w:left w:val="single" w:color="000000" w:sz="4"/>
              <w:bottom w:val="single" w:color="000000" w:sz="4"/>
              <w:right w:val="single" w:color="000000" w:sz="4"/>
            </w:tcBorders>
            <w:vAlign w:val="top"/>
          </w:tcPr>
          <w:p>
            <w:pPr>
              <w:jc w:val="center"/>
            </w:pPr>
            <w:r>
              <w:rPr>
                <w:sz w:val="21"/>
              </w:rPr>
              <w:t>全省</w:t>
            </w:r>
            <w:r>
              <w:rPr>
                <w:sz w:val="21"/>
              </w:rPr>
              <w:t>240个村庄规划优化提升重点服务村</w:t>
            </w:r>
          </w:p>
        </w:tc>
      </w:tr>
      <w:tr>
        <w:tc>
          <w:tcPr>
            <w:tcW w:type="dxa" w:w="73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937"/>
            <w:tcBorders>
              <w:top w:val="none" w:color="000000" w:sz="4"/>
              <w:left w:val="single" w:color="000000" w:sz="4"/>
              <w:bottom w:val="single" w:color="000000" w:sz="4"/>
              <w:right w:val="single" w:color="000000" w:sz="4"/>
            </w:tcBorders>
            <w:vAlign w:val="top"/>
          </w:tcPr>
          <w:p>
            <w:pPr>
              <w:jc w:val="center"/>
            </w:pPr>
            <w:r>
              <w:rPr>
                <w:sz w:val="21"/>
              </w:rPr>
              <w:t>车岗镇</w:t>
            </w:r>
          </w:p>
        </w:tc>
        <w:tc>
          <w:tcPr>
            <w:tcW w:type="dxa" w:w="1090"/>
            <w:tcBorders>
              <w:top w:val="none" w:color="000000" w:sz="4"/>
              <w:left w:val="single" w:color="000000" w:sz="4"/>
              <w:bottom w:val="single" w:color="000000" w:sz="4"/>
              <w:right w:val="single" w:color="000000" w:sz="4"/>
            </w:tcBorders>
            <w:vAlign w:val="top"/>
          </w:tcPr>
          <w:p>
            <w:pPr>
              <w:jc w:val="center"/>
            </w:pPr>
            <w:r>
              <w:rPr>
                <w:sz w:val="21"/>
              </w:rPr>
              <w:t>洞表村</w:t>
            </w:r>
          </w:p>
        </w:tc>
        <w:tc>
          <w:tcPr>
            <w:tcW w:type="dxa" w:w="2792"/>
            <w:tcBorders>
              <w:top w:val="none" w:color="000000" w:sz="4"/>
              <w:left w:val="single" w:color="000000" w:sz="4"/>
              <w:bottom w:val="single" w:color="000000" w:sz="4"/>
              <w:right w:val="single" w:color="000000" w:sz="4"/>
            </w:tcBorders>
            <w:vAlign w:val="top"/>
          </w:tcPr>
          <w:p>
            <w:pPr>
              <w:jc w:val="center"/>
            </w:pPr>
            <w:r>
              <w:rPr>
                <w:sz w:val="21"/>
              </w:rPr>
              <w:t>先编先批先用村庄</w:t>
            </w:r>
          </w:p>
        </w:tc>
        <w:tc>
          <w:tcPr>
            <w:tcW w:type="dxa" w:w="2757"/>
            <w:tcBorders>
              <w:top w:val="none" w:color="000000" w:sz="4"/>
              <w:left w:val="single" w:color="000000" w:sz="4"/>
              <w:bottom w:val="single" w:color="000000" w:sz="4"/>
              <w:right w:val="single" w:color="000000" w:sz="4"/>
            </w:tcBorders>
            <w:vAlign w:val="top"/>
          </w:tcPr>
          <w:p>
            <w:pPr>
              <w:jc w:val="center"/>
            </w:pPr>
            <w:r>
              <w:rPr>
                <w:sz w:val="21"/>
              </w:rPr>
              <w:t>一类村重新编制</w:t>
            </w:r>
          </w:p>
        </w:tc>
      </w:tr>
      <w:tr>
        <w:tc>
          <w:tcPr>
            <w:tcW w:type="dxa" w:w="73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937"/>
            <w:tcBorders>
              <w:top w:val="none" w:color="000000" w:sz="4"/>
              <w:left w:val="single" w:color="000000" w:sz="4"/>
              <w:bottom w:val="single" w:color="000000" w:sz="4"/>
              <w:right w:val="single" w:color="000000" w:sz="4"/>
            </w:tcBorders>
            <w:vAlign w:val="top"/>
          </w:tcPr>
          <w:p>
            <w:pPr>
              <w:jc w:val="center"/>
            </w:pPr>
            <w:r>
              <w:rPr>
                <w:sz w:val="21"/>
              </w:rPr>
              <w:t>太平镇</w:t>
            </w:r>
          </w:p>
        </w:tc>
        <w:tc>
          <w:tcPr>
            <w:tcW w:type="dxa" w:w="1090"/>
            <w:tcBorders>
              <w:top w:val="none" w:color="000000" w:sz="4"/>
              <w:left w:val="single" w:color="000000" w:sz="4"/>
              <w:bottom w:val="single" w:color="000000" w:sz="4"/>
              <w:right w:val="single" w:color="000000" w:sz="4"/>
            </w:tcBorders>
            <w:vAlign w:val="top"/>
          </w:tcPr>
          <w:p>
            <w:pPr>
              <w:jc w:val="center"/>
            </w:pPr>
            <w:r>
              <w:rPr>
                <w:sz w:val="21"/>
              </w:rPr>
              <w:t>悦塘村</w:t>
            </w:r>
          </w:p>
        </w:tc>
        <w:tc>
          <w:tcPr>
            <w:tcW w:type="dxa" w:w="2792"/>
            <w:tcBorders>
              <w:top w:val="none" w:color="000000" w:sz="4"/>
              <w:left w:val="single" w:color="000000" w:sz="4"/>
              <w:bottom w:val="single" w:color="000000" w:sz="4"/>
              <w:right w:val="single" w:color="000000" w:sz="4"/>
            </w:tcBorders>
            <w:vAlign w:val="top"/>
          </w:tcPr>
          <w:p>
            <w:pPr>
              <w:jc w:val="center"/>
            </w:pPr>
            <w:r>
              <w:rPr>
                <w:sz w:val="21"/>
              </w:rPr>
              <w:t>先编先批先用村庄</w:t>
            </w:r>
          </w:p>
        </w:tc>
        <w:tc>
          <w:tcPr>
            <w:tcW w:type="dxa" w:w="2757"/>
            <w:tcBorders>
              <w:top w:val="none" w:color="000000" w:sz="4"/>
              <w:left w:val="single" w:color="000000" w:sz="4"/>
              <w:bottom w:val="single" w:color="000000" w:sz="4"/>
              <w:right w:val="single" w:color="000000" w:sz="4"/>
            </w:tcBorders>
            <w:vAlign w:val="top"/>
          </w:tcPr>
          <w:p>
            <w:pPr>
              <w:jc w:val="center"/>
            </w:pPr>
            <w:r>
              <w:rPr>
                <w:sz w:val="21"/>
              </w:rPr>
              <w:t>全省</w:t>
            </w:r>
            <w:r>
              <w:rPr>
                <w:sz w:val="21"/>
              </w:rPr>
              <w:t>240个村庄规划优化提升重点服务村</w:t>
            </w:r>
          </w:p>
        </w:tc>
      </w:tr>
      <w:tr>
        <w:tc>
          <w:tcPr>
            <w:tcW w:type="dxa" w:w="73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937"/>
            <w:tcBorders>
              <w:top w:val="none" w:color="000000" w:sz="4"/>
              <w:left w:val="single" w:color="000000" w:sz="4"/>
              <w:bottom w:val="single" w:color="000000" w:sz="4"/>
              <w:right w:val="single" w:color="000000" w:sz="4"/>
            </w:tcBorders>
            <w:vAlign w:val="top"/>
          </w:tcPr>
          <w:p>
            <w:pPr>
              <w:jc w:val="center"/>
            </w:pPr>
            <w:r>
              <w:rPr>
                <w:sz w:val="21"/>
              </w:rPr>
              <w:t>太平镇</w:t>
            </w:r>
          </w:p>
        </w:tc>
        <w:tc>
          <w:tcPr>
            <w:tcW w:type="dxa" w:w="1090"/>
            <w:tcBorders>
              <w:top w:val="none" w:color="000000" w:sz="4"/>
              <w:left w:val="single" w:color="000000" w:sz="4"/>
              <w:bottom w:val="single" w:color="000000" w:sz="4"/>
              <w:right w:val="single" w:color="000000" w:sz="4"/>
            </w:tcBorders>
            <w:vAlign w:val="top"/>
          </w:tcPr>
          <w:p>
            <w:pPr>
              <w:jc w:val="center"/>
            </w:pPr>
            <w:r>
              <w:rPr>
                <w:sz w:val="21"/>
              </w:rPr>
              <w:t>下修村</w:t>
            </w:r>
          </w:p>
        </w:tc>
        <w:tc>
          <w:tcPr>
            <w:tcW w:type="dxa" w:w="2792"/>
            <w:tcBorders>
              <w:top w:val="none" w:color="000000" w:sz="4"/>
              <w:left w:val="single" w:color="000000" w:sz="4"/>
              <w:bottom w:val="single" w:color="000000" w:sz="4"/>
              <w:right w:val="single" w:color="000000" w:sz="4"/>
            </w:tcBorders>
            <w:vAlign w:val="top"/>
          </w:tcPr>
          <w:p>
            <w:pPr>
              <w:jc w:val="center"/>
            </w:pPr>
            <w:r>
              <w:rPr>
                <w:sz w:val="21"/>
              </w:rPr>
              <w:t>先编先批先用村庄</w:t>
            </w:r>
          </w:p>
        </w:tc>
        <w:tc>
          <w:tcPr>
            <w:tcW w:type="dxa" w:w="2757"/>
            <w:tcBorders>
              <w:top w:val="none" w:color="000000" w:sz="4"/>
              <w:left w:val="single" w:color="000000" w:sz="4"/>
              <w:bottom w:val="single" w:color="000000" w:sz="4"/>
              <w:right w:val="single" w:color="000000" w:sz="4"/>
            </w:tcBorders>
            <w:vAlign w:val="top"/>
          </w:tcPr>
          <w:p>
            <w:pPr>
              <w:jc w:val="center"/>
            </w:pPr>
            <w:r>
              <w:rPr>
                <w:sz w:val="21"/>
              </w:rPr>
              <w:t>有较多开发建设任务需重新编制</w:t>
            </w:r>
          </w:p>
        </w:tc>
      </w:tr>
      <w:tr>
        <w:tc>
          <w:tcPr>
            <w:tcW w:type="dxa" w:w="73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937"/>
            <w:tcBorders>
              <w:top w:val="none" w:color="000000" w:sz="4"/>
              <w:left w:val="single" w:color="000000" w:sz="4"/>
              <w:bottom w:val="single" w:color="000000" w:sz="4"/>
              <w:right w:val="single" w:color="000000" w:sz="4"/>
            </w:tcBorders>
            <w:vAlign w:val="top"/>
          </w:tcPr>
          <w:p>
            <w:pPr>
              <w:jc w:val="center"/>
            </w:pPr>
            <w:r>
              <w:rPr>
                <w:sz w:val="21"/>
              </w:rPr>
              <w:t>簕竹镇</w:t>
            </w:r>
          </w:p>
        </w:tc>
        <w:tc>
          <w:tcPr>
            <w:tcW w:type="dxa" w:w="1090"/>
            <w:tcBorders>
              <w:top w:val="none" w:color="000000" w:sz="4"/>
              <w:left w:val="single" w:color="000000" w:sz="4"/>
              <w:bottom w:val="single" w:color="000000" w:sz="4"/>
              <w:right w:val="single" w:color="000000" w:sz="4"/>
            </w:tcBorders>
            <w:vAlign w:val="top"/>
          </w:tcPr>
          <w:p>
            <w:pPr>
              <w:jc w:val="center"/>
            </w:pPr>
            <w:r>
              <w:rPr>
                <w:sz w:val="21"/>
              </w:rPr>
              <w:t>良洞村</w:t>
            </w:r>
          </w:p>
        </w:tc>
        <w:tc>
          <w:tcPr>
            <w:tcW w:type="dxa" w:w="2792"/>
            <w:tcBorders>
              <w:top w:val="none" w:color="000000" w:sz="4"/>
              <w:left w:val="single" w:color="000000" w:sz="4"/>
              <w:bottom w:val="single" w:color="000000" w:sz="4"/>
              <w:right w:val="single" w:color="000000" w:sz="4"/>
            </w:tcBorders>
            <w:vAlign w:val="top"/>
          </w:tcPr>
          <w:p>
            <w:pPr>
              <w:jc w:val="center"/>
            </w:pPr>
            <w:r>
              <w:rPr>
                <w:sz w:val="21"/>
              </w:rPr>
              <w:t>先编先批先用村庄</w:t>
            </w:r>
          </w:p>
        </w:tc>
        <w:tc>
          <w:tcPr>
            <w:tcW w:type="dxa" w:w="2757"/>
            <w:tcBorders>
              <w:top w:val="none" w:color="000000" w:sz="4"/>
              <w:left w:val="single" w:color="000000" w:sz="4"/>
              <w:bottom w:val="single" w:color="000000" w:sz="4"/>
              <w:right w:val="single" w:color="000000" w:sz="4"/>
            </w:tcBorders>
            <w:vAlign w:val="top"/>
          </w:tcPr>
          <w:p>
            <w:pPr>
              <w:jc w:val="center"/>
            </w:pPr>
            <w:r>
              <w:rPr>
                <w:sz w:val="21"/>
              </w:rPr>
              <w:t>全省</w:t>
            </w:r>
            <w:r>
              <w:rPr>
                <w:sz w:val="21"/>
              </w:rPr>
              <w:t>240个村庄规划优化提升重点服务村</w:t>
            </w:r>
          </w:p>
        </w:tc>
      </w:tr>
      <w:tr>
        <w:tc>
          <w:tcPr>
            <w:tcW w:type="dxa" w:w="73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937"/>
            <w:tcBorders>
              <w:top w:val="none" w:color="000000" w:sz="4"/>
              <w:left w:val="single" w:color="000000" w:sz="4"/>
              <w:bottom w:val="single" w:color="000000" w:sz="4"/>
              <w:right w:val="single" w:color="000000" w:sz="4"/>
            </w:tcBorders>
            <w:vAlign w:val="top"/>
          </w:tcPr>
          <w:p>
            <w:pPr>
              <w:jc w:val="center"/>
            </w:pPr>
            <w:r>
              <w:rPr>
                <w:sz w:val="21"/>
              </w:rPr>
              <w:t>六祖镇</w:t>
            </w:r>
          </w:p>
        </w:tc>
        <w:tc>
          <w:tcPr>
            <w:tcW w:type="dxa" w:w="1090"/>
            <w:tcBorders>
              <w:top w:val="none" w:color="000000" w:sz="4"/>
              <w:left w:val="single" w:color="000000" w:sz="4"/>
              <w:bottom w:val="single" w:color="000000" w:sz="4"/>
              <w:right w:val="single" w:color="000000" w:sz="4"/>
            </w:tcBorders>
            <w:vAlign w:val="top"/>
          </w:tcPr>
          <w:p>
            <w:pPr>
              <w:jc w:val="center"/>
            </w:pPr>
            <w:r>
              <w:rPr>
                <w:sz w:val="21"/>
              </w:rPr>
              <w:t>龙山塘村</w:t>
            </w:r>
          </w:p>
        </w:tc>
        <w:tc>
          <w:tcPr>
            <w:tcW w:type="dxa" w:w="2792"/>
            <w:tcBorders>
              <w:top w:val="none" w:color="000000" w:sz="4"/>
              <w:left w:val="single" w:color="000000" w:sz="4"/>
              <w:bottom w:val="single" w:color="000000" w:sz="4"/>
              <w:right w:val="single" w:color="000000" w:sz="4"/>
            </w:tcBorders>
            <w:vAlign w:val="top"/>
          </w:tcPr>
          <w:p>
            <w:pPr>
              <w:jc w:val="center"/>
            </w:pPr>
            <w:r>
              <w:rPr>
                <w:sz w:val="21"/>
              </w:rPr>
              <w:t>先编先批先用村庄</w:t>
            </w:r>
          </w:p>
        </w:tc>
        <w:tc>
          <w:tcPr>
            <w:tcW w:type="dxa" w:w="2757"/>
            <w:tcBorders>
              <w:top w:val="none" w:color="000000" w:sz="4"/>
              <w:left w:val="single" w:color="000000" w:sz="4"/>
              <w:bottom w:val="single" w:color="000000" w:sz="4"/>
              <w:right w:val="single" w:color="000000" w:sz="4"/>
            </w:tcBorders>
            <w:vAlign w:val="top"/>
          </w:tcPr>
          <w:p>
            <w:pPr>
              <w:jc w:val="center"/>
            </w:pPr>
            <w:r>
              <w:rPr>
                <w:sz w:val="21"/>
              </w:rPr>
              <w:t>一类村重新编制</w:t>
            </w:r>
          </w:p>
        </w:tc>
      </w:tr>
      <w:tr>
        <w:tc>
          <w:tcPr>
            <w:tcW w:type="dxa" w:w="73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937"/>
            <w:tcBorders>
              <w:top w:val="none" w:color="000000" w:sz="4"/>
              <w:left w:val="single" w:color="000000" w:sz="4"/>
              <w:bottom w:val="single" w:color="000000" w:sz="4"/>
              <w:right w:val="single" w:color="000000" w:sz="4"/>
            </w:tcBorders>
            <w:vAlign w:val="top"/>
          </w:tcPr>
          <w:p>
            <w:pPr>
              <w:jc w:val="center"/>
            </w:pPr>
            <w:r>
              <w:rPr>
                <w:sz w:val="21"/>
              </w:rPr>
              <w:t>六祖镇</w:t>
            </w:r>
          </w:p>
        </w:tc>
        <w:tc>
          <w:tcPr>
            <w:tcW w:type="dxa" w:w="1090"/>
            <w:tcBorders>
              <w:top w:val="none" w:color="000000" w:sz="4"/>
              <w:left w:val="single" w:color="000000" w:sz="4"/>
              <w:bottom w:val="single" w:color="000000" w:sz="4"/>
              <w:right w:val="single" w:color="000000" w:sz="4"/>
            </w:tcBorders>
            <w:vAlign w:val="top"/>
          </w:tcPr>
          <w:p>
            <w:pPr>
              <w:jc w:val="center"/>
            </w:pPr>
            <w:r>
              <w:rPr>
                <w:sz w:val="21"/>
              </w:rPr>
              <w:t>三坪村</w:t>
            </w:r>
          </w:p>
        </w:tc>
        <w:tc>
          <w:tcPr>
            <w:tcW w:type="dxa" w:w="2792"/>
            <w:tcBorders>
              <w:top w:val="none" w:color="000000" w:sz="4"/>
              <w:left w:val="single" w:color="000000" w:sz="4"/>
              <w:bottom w:val="single" w:color="000000" w:sz="4"/>
              <w:right w:val="single" w:color="000000" w:sz="4"/>
            </w:tcBorders>
            <w:vAlign w:val="top"/>
          </w:tcPr>
          <w:p>
            <w:pPr>
              <w:jc w:val="center"/>
            </w:pPr>
            <w:r>
              <w:rPr>
                <w:sz w:val="21"/>
              </w:rPr>
              <w:t>需在镇级国土空间总体规划批准后解决</w:t>
            </w:r>
          </w:p>
        </w:tc>
        <w:tc>
          <w:tcPr>
            <w:tcW w:type="dxa" w:w="2757"/>
            <w:tcBorders>
              <w:top w:val="none" w:color="000000" w:sz="4"/>
              <w:left w:val="single" w:color="000000" w:sz="4"/>
              <w:bottom w:val="single" w:color="000000" w:sz="4"/>
              <w:right w:val="single" w:color="000000" w:sz="4"/>
            </w:tcBorders>
            <w:vAlign w:val="top"/>
          </w:tcPr>
          <w:p>
            <w:pPr>
              <w:jc w:val="center"/>
            </w:pPr>
            <w:r>
              <w:rPr>
                <w:sz w:val="21"/>
              </w:rPr>
              <w:t>过渡期用地需求无法预测，待空间规划批准后解决</w:t>
            </w:r>
          </w:p>
        </w:tc>
      </w:tr>
      <w:tr>
        <w:tc>
          <w:tcPr>
            <w:tcW w:type="dxa" w:w="730"/>
            <w:tcBorders>
              <w:top w:val="none" w:color="000000" w:sz="4"/>
              <w:left w:val="single" w:color="000000" w:sz="4"/>
              <w:bottom w:val="single" w:color="000000" w:sz="4"/>
              <w:right w:val="single" w:color="000000" w:sz="4"/>
            </w:tcBorders>
            <w:vAlign w:val="top"/>
          </w:tcPr>
          <w:p>
            <w:pPr>
              <w:jc w:val="center"/>
            </w:pPr>
            <w:r>
              <w:rPr>
                <w:sz w:val="21"/>
              </w:rPr>
              <w:t>8</w:t>
            </w:r>
          </w:p>
        </w:tc>
        <w:tc>
          <w:tcPr>
            <w:tcW w:type="dxa" w:w="937"/>
            <w:tcBorders>
              <w:top w:val="none" w:color="000000" w:sz="4"/>
              <w:left w:val="single" w:color="000000" w:sz="4"/>
              <w:bottom w:val="single" w:color="000000" w:sz="4"/>
              <w:right w:val="single" w:color="000000" w:sz="4"/>
            </w:tcBorders>
            <w:vAlign w:val="top"/>
          </w:tcPr>
          <w:p>
            <w:pPr>
              <w:jc w:val="center"/>
            </w:pPr>
            <w:r>
              <w:rPr>
                <w:sz w:val="21"/>
              </w:rPr>
              <w:t>里洞镇</w:t>
            </w:r>
          </w:p>
        </w:tc>
        <w:tc>
          <w:tcPr>
            <w:tcW w:type="dxa" w:w="1090"/>
            <w:tcBorders>
              <w:top w:val="none" w:color="000000" w:sz="4"/>
              <w:left w:val="single" w:color="000000" w:sz="4"/>
              <w:bottom w:val="single" w:color="000000" w:sz="4"/>
              <w:right w:val="single" w:color="000000" w:sz="4"/>
            </w:tcBorders>
            <w:vAlign w:val="top"/>
          </w:tcPr>
          <w:p>
            <w:pPr>
              <w:jc w:val="center"/>
            </w:pPr>
            <w:r>
              <w:rPr>
                <w:sz w:val="21"/>
              </w:rPr>
              <w:t>洛洞村</w:t>
            </w:r>
          </w:p>
        </w:tc>
        <w:tc>
          <w:tcPr>
            <w:tcW w:type="dxa" w:w="2792"/>
            <w:tcBorders>
              <w:top w:val="none" w:color="000000" w:sz="4"/>
              <w:left w:val="single" w:color="000000" w:sz="4"/>
              <w:bottom w:val="single" w:color="000000" w:sz="4"/>
              <w:right w:val="single" w:color="000000" w:sz="4"/>
            </w:tcBorders>
            <w:vAlign w:val="top"/>
          </w:tcPr>
          <w:p>
            <w:pPr>
              <w:jc w:val="center"/>
            </w:pPr>
            <w:r>
              <w:rPr>
                <w:sz w:val="21"/>
              </w:rPr>
              <w:t>需在镇级国土空间总体规划批准后解决</w:t>
            </w:r>
          </w:p>
        </w:tc>
        <w:tc>
          <w:tcPr>
            <w:tcW w:type="dxa" w:w="2757"/>
            <w:tcBorders>
              <w:top w:val="none" w:color="000000" w:sz="4"/>
              <w:left w:val="single" w:color="000000" w:sz="4"/>
              <w:bottom w:val="single" w:color="000000" w:sz="4"/>
              <w:right w:val="single" w:color="000000" w:sz="4"/>
            </w:tcBorders>
            <w:vAlign w:val="top"/>
          </w:tcPr>
          <w:p>
            <w:pPr>
              <w:jc w:val="center"/>
            </w:pPr>
            <w:r>
              <w:rPr>
                <w:sz w:val="21"/>
              </w:rPr>
              <w:t>过渡期用地需求无法预测，待空间规划批准后解决</w:t>
            </w:r>
          </w:p>
        </w:tc>
      </w:tr>
    </w:tbl>
    <w:p/>
    <w:p>
      <w:pPr>
        <w:ind w:firstLine="480"/>
      </w:pPr>
    </w:p>
    <w:p/>
    <w:p>
      <w:r>
        <w:rPr/>
        <w:t>采购包1（首批新兴县村庄规划优化提升编制项目）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★2023年11月30日前完成本项目</w:t>
            </w:r>
          </w:p>
        </w:tc>
      </w:tr>
      <w:tr>
        <w:tc>
          <w:tcPr>
            <w:tcW w:type="dxa" w:w="4153"/>
          </w:tcPr>
          <w:p>
            <w:r>
              <w:rPr/>
              <w:t>标的提供的地点</w:t>
            </w:r>
          </w:p>
        </w:tc>
        <w:tc>
          <w:tcPr>
            <w:tcW w:type="dxa" w:w="4153"/>
          </w:tcPr>
          <w:p/>
          <w:p>
            <w:r>
              <w:rPr/>
              <w:t>新城镇云吟村、车岗镇洞表村、太平镇悦塘村、太平镇下修村、簕竹镇良洞村、六祖镇龙山塘村、六祖镇三坪村、里洞镇洛洞村</w:t>
            </w:r>
          </w:p>
        </w:tc>
      </w:tr>
      <w:tr>
        <w:tc>
          <w:tcPr>
            <w:tcW w:type="dxa" w:w="4153"/>
          </w:tcPr>
          <w:p>
            <w:r>
              <w:rPr/>
              <w:t>付款方式</w:t>
            </w:r>
          </w:p>
        </w:tc>
        <w:tc>
          <w:tcPr>
            <w:tcW w:type="dxa" w:w="4153"/>
          </w:tcPr>
          <w:p/>
          <w:p/>
          <w:p>
            <w:r>
              <w:rPr/>
              <w:t>1期：支付比例30%,★合同签订后5个工作日内，采购人向成交供应商支付合同总金额的30%作为预付款；</w:t>
            </w:r>
          </w:p>
          <w:p/>
          <w:p>
            <w:r>
              <w:rPr/>
              <w:t>2期：支付比例40%,★成交供应商提交的规划成果经专家评审通过后10个工作日内，采购人向成交供应商支付合同总金额的40%作为进度款；</w:t>
            </w:r>
          </w:p>
          <w:p/>
          <w:p>
            <w:r>
              <w:rPr/>
              <w:t>3期：支付比例30%,★成交供应商提交报批成果经县政府批复后，采购人向成交供应商付清合同余款。</w:t>
            </w:r>
          </w:p>
        </w:tc>
      </w:tr>
      <w:tr>
        <w:tc>
          <w:tcPr>
            <w:tcW w:type="dxa" w:w="4153"/>
          </w:tcPr>
          <w:p>
            <w:r>
              <w:rPr/>
              <w:t>验收要求</w:t>
            </w:r>
          </w:p>
        </w:tc>
        <w:tc>
          <w:tcPr>
            <w:tcW w:type="dxa" w:w="4153"/>
          </w:tcPr>
          <w:p/>
          <w:p/>
          <w:p/>
          <w:p>
            <w:r>
              <w:rPr/>
              <w:t>1期：★（1）成交供应商提交的技术成果须满足国家、省、市有关法律法规、规范、规定、规程、标准、规划等要求并按照采购文件要求执行，提交的项目成果质量必须符合项目要求且通过采购人的验收。 （2）成交人提交的技术成果不得侵犯任何第三方的知识产权及其他权利，否则由成交人承担相应的责任。如采购人因此而遭致损失的，成交供应商应赔偿该损失。 （3）当项目成果无法达到采购人的合理要求时，采购人可拒绝支付成交供应商相关费用，由此造成的损失全部由成交供应商承担。 （4）成交供应商须对成果文件出现的遗漏或错误负责及时修改或补充。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★付款方式（补充），（1）成交供应商凭以下有效文件向采购人申请支付： 1）合同； 2）成交供应商开具有效的正式发票； 3）成交通知书； 4）采购人要求的其他相关付款资料。 （2）付款方式：采用银行转账等形式。 （3）采购人延迟支付政府采购供应商款项的，按照每日利率万分之五向成交供应商支付逾期利息。</w:t>
            </w: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（1）供应商的报价须以人民币元为单位（小数点后可保留两位小数），所报的价格不得高于项目预算。 （2）供应商的报价为含税全包价，报价必须包括基础资料收集费、现状调研费、方案编制费、成果制作费、规划方案专家论证费、工作人员劳务费、各项税费等完成合同规定责任和义务、达到合同目的的一切费用。</w:t>
            </w:r>
          </w:p>
        </w:tc>
      </w:tr>
      <w:tr>
        <w:tc>
          <w:tcPr>
            <w:tcW w:type="dxa" w:w="2076"/>
          </w:tcPr>
          <w:p>
            <w:pPr>
              <w:jc w:val="center"/>
            </w:pPr>
          </w:p>
        </w:tc>
        <w:tc>
          <w:tcPr>
            <w:tcW w:type="dxa" w:w="2076"/>
          </w:tcPr>
          <w:p>
            <w:pPr>
              <w:jc w:val="center"/>
            </w:pPr>
            <w:r>
              <w:rPr/>
              <w:t>2</w:t>
            </w:r>
          </w:p>
        </w:tc>
        <w:tc>
          <w:tcPr>
            <w:tcW w:type="dxa" w:w="2076"/>
          </w:tcPr>
          <w:p>
            <w:pPr>
              <w:jc w:val="left"/>
            </w:pPr>
            <w:r>
              <w:rPr/>
              <w:t>其他要求</w:t>
            </w:r>
          </w:p>
        </w:tc>
        <w:tc>
          <w:tcPr>
            <w:tcW w:type="dxa" w:w="2076"/>
          </w:tcPr>
          <w:p>
            <w:pPr>
              <w:jc w:val="left"/>
            </w:pPr>
            <w:r>
              <w:rPr/>
              <w:t>★（1）本项目完成并通过验收后，成交供应商须提供一年后续服务（后续服务内容包括项目规划解释说明、必要的备案材料整理等），由此产生的费用由成交供应商负责。 （2）成交供应商在服务期内违反国家相关法律法规，均由成交供应商负责处理，采购人不予承担任何责任。 （3）成交供应商须严格履行合同约定，提高服务质量和水平，确保采购人信息安全，在未征得采购人同意的情况下，成交供应商及其工作人员不得在本项目合同以外事项中引用、发表或向第三者提供与本项目相关的资料，否则将根据产生的后果承担相应的赔偿责任及法律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区域规划和设计服务</w:t>
            </w:r>
          </w:p>
        </w:tc>
        <w:tc>
          <w:tcPr>
            <w:tcW w:type="dxa" w:w="933"/>
          </w:tcPr>
          <w:p>
            <w:pPr>
              <w:jc w:val="left"/>
            </w:pPr>
            <w:r>
              <w:rPr/>
              <w:t>首批新兴县村庄规划优化提升编制项目</w:t>
            </w:r>
          </w:p>
        </w:tc>
        <w:tc>
          <w:tcPr>
            <w:tcW w:type="dxa" w:w="933"/>
          </w:tcPr>
          <w:p>
            <w:pPr>
              <w:jc w:val="left"/>
            </w:pPr>
            <w:r>
              <w:rPr/>
              <w:t>项</w:t>
            </w:r>
          </w:p>
        </w:tc>
        <w:tc>
          <w:tcPr>
            <w:tcW w:type="dxa" w:w="933"/>
          </w:tcPr>
          <w:p>
            <w:pPr>
              <w:jc w:val="right"/>
            </w:pPr>
            <w:r>
              <w:rPr/>
              <w:t>1.00</w:t>
            </w:r>
          </w:p>
        </w:tc>
        <w:tc>
          <w:tcPr>
            <w:tcW w:type="dxa" w:w="933"/>
          </w:tcPr>
          <w:p>
            <w:pPr>
              <w:jc w:val="right"/>
            </w:pPr>
            <w:r>
              <w:rPr/>
              <w:t>2,000,000.00</w:t>
            </w:r>
          </w:p>
        </w:tc>
        <w:tc>
          <w:tcPr>
            <w:tcW w:type="dxa" w:w="933"/>
          </w:tcPr>
          <w:p>
            <w:pPr>
              <w:jc w:val="right"/>
            </w:pPr>
            <w:r>
              <w:rPr/>
              <w:t>2,000,000.00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首批新兴县村庄规划优化提升编制项目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工作要求</w:t>
            </w:r>
          </w:p>
          <w:p>
            <w:r>
              <w:rPr>
                <w:sz w:val="21"/>
              </w:rPr>
              <w:t>1.1总体要求：本次村庄规划以《广东省村庄规划编制基本技术指南》（试行）、《广东省村庄规划优化提升试点工作方案》为编制指引，以行政村为单位开展全域规划，充分落实广东省自然资源厅 广东省农业农村厅《广东省村庄规划全面优化提升三年行动计划》等有关政策文件的要求。</w:t>
            </w:r>
          </w:p>
          <w:p>
            <w:r>
              <w:rPr>
                <w:sz w:val="21"/>
              </w:rPr>
              <w:t>1.2编制原则：</w:t>
            </w:r>
          </w:p>
          <w:p>
            <w:r>
              <w:rPr>
                <w:sz w:val="21"/>
              </w:rPr>
              <w:t>1.2.1重点聚焦被纳入各类涉及乡村的改革试点，集中力量、加快村庄规划优化提升工作，为各类空间开发建设活动提供空间载体。系统推进，全面优化提升村庄规划与国土空间规划体系的整体构建同谋划同推进，通过在县、乡镇级国土空间总体规划中，统筹解决好管控底线及村庄布局优化等在村庄规划中难以协调解决的问题。</w:t>
            </w:r>
          </w:p>
          <w:p>
            <w:r>
              <w:rPr>
                <w:sz w:val="21"/>
              </w:rPr>
              <w:t>1.2.2分类分期，分别按照重新编制、规划调整、通则管理、详规覆盖等四种方法，对现有村庄规划进行分类优化提升，分步分期解决历年已编部分村庄规划质量差、不好用、不实用问题。节约集约，践行新发展理念，落实最严格的耕地保护制度，强化存量规划、减量规划思维，大力盘活农村存量建设用地，合理保障和规范农村村民住宅用地、农村一二三产业融合发展用地，确保农村人均建设用地逐步下降，土地资源利用率逐步提升。</w:t>
            </w:r>
          </w:p>
          <w:p>
            <w:r>
              <w:rPr>
                <w:sz w:val="21"/>
              </w:rPr>
              <w:t>1.3工作流程：</w:t>
            </w:r>
          </w:p>
          <w:p>
            <w:r>
              <w:rPr>
                <w:sz w:val="21"/>
              </w:rPr>
              <w:t>1.3.1现状调查通过资料收集、外业调查等方式开展实地调研，全面分析村庄现状和问题、未来发展需求、上位规划相关要求等，并形成规划所需的工作底图（应采用第三次全国土地调查数据成果或最新土地变更调查数据成果、比例尺不低于1:2000的地形图或高分航摄正射影像图作为工作底图，可用农村地籍调查数据、地理国情普查数据作为补充）。</w:t>
            </w:r>
          </w:p>
          <w:p>
            <w:r>
              <w:rPr>
                <w:sz w:val="21"/>
              </w:rPr>
              <w:t>1.3.2规划编制在现状调查分析的基础上，通过科学规划、合理布局，并组织村民充分发表意见，协商确定规划主要内容，形成规划成果。</w:t>
            </w:r>
          </w:p>
          <w:p>
            <w:r>
              <w:rPr>
                <w:sz w:val="21"/>
              </w:rPr>
              <w:t>1.3.3规划成果经评审后按照流程开展报审相关工作。</w:t>
            </w:r>
          </w:p>
        </w:tc>
      </w:tr>
      <w:tr>
        <w:tc>
          <w:tcPr>
            <w:tcW w:type="dxa" w:w="2076"/>
          </w:tcPr>
          <w:p>
            <w:r>
              <w:rPr/>
              <w:t>★</w:t>
            </w:r>
          </w:p>
        </w:tc>
        <w:tc>
          <w:tcPr>
            <w:tcW w:type="dxa" w:w="415"/>
          </w:tcPr>
          <w:p>
            <w:r>
              <w:rPr/>
              <w:t>2</w:t>
            </w:r>
          </w:p>
        </w:tc>
        <w:tc>
          <w:tcPr>
            <w:tcW w:type="dxa" w:w="5814"/>
          </w:tcPr>
          <w:p>
            <w:r>
              <w:rPr>
                <w:b/>
                <w:sz w:val="22"/>
              </w:rPr>
              <w:t>（</w:t>
            </w:r>
            <w:r>
              <w:rPr>
                <w:b/>
                <w:sz w:val="22"/>
              </w:rPr>
              <w:t>2</w:t>
            </w:r>
            <w:r>
              <w:rPr>
                <w:b/>
                <w:sz w:val="22"/>
              </w:rPr>
              <w:t>）</w:t>
            </w:r>
            <w:r>
              <w:rPr>
                <w:b/>
                <w:sz w:val="22"/>
              </w:rPr>
              <w:t>工作</w:t>
            </w:r>
            <w:r>
              <w:rPr>
                <w:b/>
                <w:sz w:val="22"/>
              </w:rPr>
              <w:t>内容</w:t>
            </w:r>
          </w:p>
          <w:p>
            <w:pPr>
              <w:ind w:firstLine="420"/>
            </w:pPr>
            <w:r>
              <w:rPr>
                <w:sz w:val="21"/>
              </w:rPr>
              <w:t>结合现状调查和村庄建设需求台账，以建设生态宜居美丽乡村为目标，开展针对性的村庄规划编制，并形成村庄规划建设项目库（表），完成符合国土空间规划编制要求的</w:t>
            </w:r>
            <w:r>
              <w:rPr>
                <w:sz w:val="21"/>
              </w:rPr>
              <w:t>“多规合一”实用性村庄规划成果编制及数据库建设，划定村庄建设边界线。</w:t>
            </w:r>
          </w:p>
          <w:p>
            <w:r>
              <w:rPr>
                <w:sz w:val="21"/>
              </w:rPr>
              <w:t>2.1村庄发展目标：落实上位规划要求及第三次全国国土调查现状建设用地规模，充分考虑人口资源、环境条件和社会经济发展、人居环境整治要求，制定村庄发展、国土空间开发保护、人居环境整治目标，落实各项约束性指标，保障乡村振兴合理空间需求、提升村庄规划的实用性。</w:t>
            </w:r>
          </w:p>
          <w:p>
            <w:r>
              <w:rPr>
                <w:sz w:val="21"/>
              </w:rPr>
              <w:t>2.2生态保护修复：落实“山水林田湖草是生命共同体”的整体系统观，尊重自然地理格局，优化乡村水系、林网和农田等空间。根据山地、平原、水乡、滨海等不同村庄的自然环境，因地制宜优化引导村庄空间格局形态，实现山水、田园、林地和村庄有机融合。</w:t>
            </w:r>
          </w:p>
          <w:p>
            <w:r>
              <w:rPr>
                <w:sz w:val="21"/>
              </w:rPr>
              <w:t>2.3耕地和永久基本农田保护：落实永久基本农田和永久基本农田整备区划定成果，落实农田整治、水田垦造、拆旧复垦安排。统筹安排农业发展空间，完善农田水利配套设施布局。明确农业空间管制规则。</w:t>
            </w:r>
          </w:p>
          <w:p>
            <w:r>
              <w:rPr>
                <w:sz w:val="21"/>
              </w:rPr>
              <w:t>2.4历史文化传承与保护：深入挖掘乡村历史文化资源，划定乡村历史文化保护线，提出历史文化景观整体保护措施，明确管制规则。挖掘和提炼村庄自然、人文要素符号及岭南传统乡土建筑特色，兼顾村民实用和现代审美的需要，提出村庄景观风貌控制性要求。保护传统村落、传统民居、南粤古驿道和历史文化名村名镇等资源，对拥有古驿道资源的村庄，在做好普查、保护及修复工作基础上，建立古驿道标识系统等配套服务设施，提出整合串联沿线历史文化遗产、生态、旅游等资源的策略。</w:t>
            </w:r>
          </w:p>
          <w:p>
            <w:r>
              <w:rPr>
                <w:sz w:val="21"/>
              </w:rPr>
              <w:t>2.5建设空间安排：</w:t>
            </w:r>
          </w:p>
          <w:p>
            <w:r>
              <w:rPr>
                <w:sz w:val="21"/>
              </w:rPr>
              <w:t>2.5.1农村住房：按照上位规划确定的农村居民点布局和建设用地管控要求，合理确定宅基地规模，划定宅基地建设范围。在符合国土空间规划前提下，推动低效闲置建设用地功能升级，鼓励对依法登记的宅基地等农村建设用地进行复合利用。</w:t>
            </w:r>
          </w:p>
          <w:p>
            <w:r>
              <w:rPr>
                <w:sz w:val="21"/>
              </w:rPr>
              <w:t>2.5.2产业发展空间：结合村庄资源禀赋和区位条件，统筹谋划村庄产业发展，合理安排产业用地布局，保障农村新产业新业态发展用地，确定经营性建设用地规模。明确产业用地的用途、强度等要求。</w:t>
            </w:r>
          </w:p>
          <w:p>
            <w:r>
              <w:rPr>
                <w:sz w:val="21"/>
              </w:rPr>
              <w:t>2.5.3基础设施和基本公共服务设施：依据人口规模和服务半径，合理布局供水排水、电力电信、道路交通等基础设施及村民委员会、综合服务站、基层综合性文化服务中心、卫生室、养老和教育等公共服务设施。以安全、经济、方便群众使用为原则，因地制宜提出村域基础设施和基本公共服务设施的选址、规模、标准等要求。</w:t>
            </w:r>
          </w:p>
          <w:p>
            <w:r>
              <w:rPr>
                <w:sz w:val="21"/>
              </w:rPr>
              <w:t>2.6村庄安全和防灾减灾：针对村域内地质灾害、洪涝等隐患，提出农村建房安全管理要求以及预防和应对各类灾害危害的措施。</w:t>
            </w:r>
          </w:p>
          <w:p>
            <w:r>
              <w:rPr>
                <w:sz w:val="21"/>
              </w:rPr>
              <w:t>2.7特色风貌和农房建设指引：保留乡村特色风貌，加强村庄风貌引导，明确建筑高度等空间形态管控要求，着力构建“村庄规划-村庄风貌设计-农房单体设计”的管控体系，与农村人居环境提升工作紧密结合，共同推动乡村风貌的提升。</w:t>
            </w:r>
          </w:p>
          <w:p>
            <w:r>
              <w:rPr>
                <w:sz w:val="21"/>
              </w:rPr>
              <w:t>2.8近期建设行动：提出近期急需推进的生态修复整治、农田整治、水田垦造、拆旧复垦、历史文化保护、产业发展、基础设施和公共服务设施建设、人居环境整治等项目，明确资金规模和筹措方式、建设主体和方式等。</w:t>
            </w:r>
          </w:p>
        </w:tc>
      </w:tr>
      <w:tr>
        <w:tc>
          <w:tcPr>
            <w:tcW w:type="dxa" w:w="2076"/>
          </w:tcPr>
          <w:p>
            <w:r>
              <w:rPr/>
              <w:t>★</w:t>
            </w:r>
          </w:p>
        </w:tc>
        <w:tc>
          <w:tcPr>
            <w:tcW w:type="dxa" w:w="415"/>
          </w:tcPr>
          <w:p>
            <w:r>
              <w:rPr/>
              <w:t>3</w:t>
            </w:r>
          </w:p>
        </w:tc>
        <w:tc>
          <w:tcPr>
            <w:tcW w:type="dxa" w:w="5814"/>
          </w:tcPr>
          <w:p>
            <w:r>
              <w:rPr>
                <w:b/>
                <w:sz w:val="22"/>
              </w:rPr>
              <w:t>（</w:t>
            </w:r>
            <w:r>
              <w:rPr>
                <w:b/>
                <w:sz w:val="22"/>
              </w:rPr>
              <w:t>3）成果要求</w:t>
            </w:r>
          </w:p>
          <w:p>
            <w:r>
              <w:rPr>
                <w:sz w:val="21"/>
              </w:rPr>
              <w:t>3.1成果构成：本次村庄规划成果要求按照广东省自然资源厅印发的《广东省村庄规划编制基本技术指南》（试行）、《广东省村庄规划优化提升试点工作方案》要求进行编制，并充分落实其他相关法律、法规、技术规范和政策文件的要求。村庄规划成果应包括“一图一表一库一规则”，分别为村庄规划总图、近期建设项目表、村庄规划数据库和村庄规划管制规则。</w:t>
            </w:r>
          </w:p>
          <w:p>
            <w:r>
              <w:rPr>
                <w:sz w:val="21"/>
              </w:rPr>
              <w:t>3.1.1村庄规划总图：标示村域内生态保护红线、永久基本农田保护红线、永久基本农田整备区、乡村历史文化保护线、宅基地建设范围线等规划控制线，及生态用地、农业用地、村庄建设用地布局，并附规划目标表、土地利用结构调整表，比例尺不应低于1:2000，并需标示必要的定位信息。</w:t>
            </w:r>
          </w:p>
          <w:p>
            <w:r>
              <w:rPr>
                <w:sz w:val="21"/>
              </w:rPr>
              <w:t>3.1.2近期建设项目表：包括生态修复整治、农田整治、水田垦造、拆旧复垦、历史文化保护、产业发展、基础设施和公共服务设施建设、人居环境整治等项目名称、空间位置、用地面积、资金规模、筹措方式、建设主体和方式等。</w:t>
            </w:r>
          </w:p>
          <w:p>
            <w:r>
              <w:rPr>
                <w:sz w:val="21"/>
              </w:rPr>
              <w:t>3.1.3村庄规划数据库：应符合《广东省村庄规划数据库汇交要求》、《广东省村庄规划数据库质量检查细则》等有关要求。</w:t>
            </w:r>
          </w:p>
          <w:p>
            <w:r>
              <w:rPr>
                <w:sz w:val="21"/>
              </w:rPr>
              <w:t>3.1.4村庄规划管制规则：内容应包括规划核心要求，如生态保护、耕地和永久基本农田保护、历史文化保护、建设空间管制、村庄安全和防灾减灾等，并应做到“行文易懂、内容好记、管理可行”。</w:t>
            </w:r>
          </w:p>
          <w:p>
            <w:r>
              <w:rPr>
                <w:sz w:val="21"/>
              </w:rPr>
              <w:t>3.1.5规划文本：主要内容包括村庄发展目标、生态保护修复、耕地和永久基本农田保护、历史文化传承与保护、建设用地布局、村庄安全和防灾减灾、特色风貌和农房建设指引、近期建设行动等内容。</w:t>
            </w:r>
          </w:p>
          <w:p>
            <w:r>
              <w:rPr>
                <w:sz w:val="21"/>
              </w:rPr>
              <w:t>3.1.6根据采购人需要补充规划图件（包括村庄用地现状图、村庄建设项目布局规划图等）。</w:t>
            </w:r>
          </w:p>
          <w:p>
            <w:r>
              <w:rPr>
                <w:sz w:val="21"/>
              </w:rPr>
              <w:t>3.1.7自然村1图1表：编制自然村1图1表。</w:t>
            </w:r>
          </w:p>
          <w:p>
            <w:r>
              <w:rPr>
                <w:sz w:val="21"/>
              </w:rPr>
              <w:t>3.2成果提交要求：</w:t>
            </w:r>
          </w:p>
          <w:p>
            <w:r>
              <w:rPr>
                <w:sz w:val="21"/>
              </w:rPr>
              <w:t>3.2.1提交的成果必须符合采购文件的有关规定，充分表达规划设计的内容和深度。</w:t>
            </w:r>
          </w:p>
          <w:p>
            <w:r>
              <w:rPr>
                <w:sz w:val="21"/>
              </w:rPr>
              <w:t>3.2.2所有规划成果的计量单位均应采用国际标准计量单位。</w:t>
            </w:r>
          </w:p>
          <w:p>
            <w:r>
              <w:rPr>
                <w:sz w:val="21"/>
              </w:rPr>
              <w:t>3.2.3成果文件应完整、系统、有条理，充分反映规划内容。图件必须做到清晰、完整，尺寸准确、按要求的出图比例打印，同类图纸规格应尽量统一。</w:t>
            </w:r>
          </w:p>
          <w:p>
            <w:r>
              <w:rPr>
                <w:sz w:val="21"/>
              </w:rPr>
              <w:t>3.2.4成果数量：成果数量一式六份，A3或A4大小，电子光盘一份。</w:t>
            </w:r>
          </w:p>
        </w:tc>
      </w:tr>
      <w:tr>
        <w:tc>
          <w:tcPr>
            <w:tcW w:type="dxa" w:w="2076"/>
          </w:tcPr>
          <w:p>
            <w:r>
              <w:rPr/>
              <w:t>★</w:t>
            </w:r>
          </w:p>
        </w:tc>
        <w:tc>
          <w:tcPr>
            <w:tcW w:type="dxa" w:w="415"/>
          </w:tcPr>
          <w:p>
            <w:r>
              <w:rPr/>
              <w:t>4</w:t>
            </w:r>
          </w:p>
        </w:tc>
        <w:tc>
          <w:tcPr>
            <w:tcW w:type="dxa" w:w="5814"/>
          </w:tcPr>
          <w:p>
            <w:r>
              <w:rPr>
                <w:b/>
                <w:sz w:val="22"/>
              </w:rPr>
              <w:t>（</w:t>
            </w:r>
            <w:r>
              <w:rPr>
                <w:b/>
                <w:sz w:val="22"/>
              </w:rPr>
              <w:t>4）进度要求</w:t>
            </w:r>
          </w:p>
          <w:p>
            <w:pPr>
              <w:ind w:firstLine="420"/>
            </w:pPr>
            <w:r>
              <w:rPr>
                <w:sz w:val="21"/>
              </w:rPr>
              <w:t>本次规划拟于</w:t>
            </w:r>
            <w:r>
              <w:rPr>
                <w:sz w:val="21"/>
              </w:rPr>
              <w:t>2023年11月底完成村庄规划编制和报批工作。具体进度如下：</w:t>
            </w:r>
          </w:p>
          <w:p>
            <w:r>
              <w:rPr>
                <w:sz w:val="21"/>
              </w:rPr>
              <w:t>4.1 9月中旬，完成村庄规划调研；</w:t>
            </w:r>
          </w:p>
          <w:p>
            <w:r>
              <w:rPr>
                <w:sz w:val="21"/>
              </w:rPr>
              <w:t>4.2 9月底，完成村庄规划初步方案并征求意见；</w:t>
            </w:r>
          </w:p>
          <w:p>
            <w:r>
              <w:rPr>
                <w:sz w:val="21"/>
              </w:rPr>
              <w:t>4.3 10月中下旬，完成公示并经村民（代表）会议讨论同意，同步召开专家评审会并征求部门意见；</w:t>
            </w:r>
          </w:p>
          <w:p>
            <w:r>
              <w:rPr>
                <w:sz w:val="21"/>
              </w:rPr>
              <w:t>4.4 11月初旬完成最终成果；</w:t>
            </w:r>
          </w:p>
          <w:p>
            <w:r>
              <w:rPr>
                <w:sz w:val="21"/>
              </w:rPr>
              <w:t>4.5 11月底按照流程开展报批相关工作。</w:t>
            </w:r>
          </w:p>
        </w:tc>
      </w:tr>
      <w:tr>
        <w:tc>
          <w:tcPr>
            <w:tcW w:type="dxa" w:w="2076"/>
          </w:tcPr>
          <w:p/>
        </w:tc>
        <w:tc>
          <w:tcPr>
            <w:tcW w:type="dxa" w:w="415"/>
          </w:tcPr>
          <w:p>
            <w:r>
              <w:rPr/>
              <w:t>5</w:t>
            </w:r>
          </w:p>
        </w:tc>
        <w:tc>
          <w:tcPr>
            <w:tcW w:type="dxa" w:w="5814"/>
          </w:tcPr>
          <w:p>
            <w:r>
              <w:rPr>
                <w:b/>
                <w:sz w:val="22"/>
              </w:rPr>
              <w:t>（</w:t>
            </w:r>
            <w:r>
              <w:rPr>
                <w:b/>
                <w:sz w:val="22"/>
              </w:rPr>
              <w:t>5）人员管理要求</w:t>
            </w:r>
          </w:p>
          <w:p>
            <w:r>
              <w:rPr>
                <w:sz w:val="21"/>
              </w:rPr>
              <w:t>5.1为使项目按质、按量、按时及有序实施，成交供应商应提供充足的技术人员投入到本服务项目开展工作，调整人员需经采购人同意。</w:t>
            </w:r>
          </w:p>
          <w:p>
            <w:r>
              <w:rPr>
                <w:sz w:val="21"/>
              </w:rPr>
              <w:t>5.2成交供应商须为本项目配备项目联系人，负责：①对项目内容、工作进度安排、协调进行统筹安排；②对项目成果在技术层面进行整体把握；③及时有效对接采购人，汇报工作内容。</w:t>
            </w:r>
          </w:p>
          <w:p>
            <w:r>
              <w:rPr>
                <w:sz w:val="21"/>
              </w:rPr>
              <w:t>5.3采购人有权以书面形式要求成交供应商更换不能按规定履行合同的人员。即使是采购人要求或同意更换的人员，其代替人员的资质仍应得到采购人的认可，且其资质和经验均不得低于被更换人员。由此而产生的费用由成交供应商承担。</w:t>
            </w:r>
          </w:p>
          <w:p>
            <w:r>
              <w:rPr>
                <w:sz w:val="21"/>
              </w:rPr>
              <w:t>5.4成交供应商须对其雇员的人身安全负全部责任。服务期内，成交供应商的服务人员因执行本项目出现的伤亡，由成交供应商负责处理。</w:t>
            </w:r>
          </w:p>
          <w:p>
            <w:r>
              <w:rPr>
                <w:sz w:val="21"/>
              </w:rPr>
              <w:t>5.5服务期内，成交供应商的服务人员在执行服务中造成他人人身伤亡、财产损失的，由成交供应商负责处理。</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新兴县自然资源局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采购机构代理服务收费标准：收费标准参照国家计委颁布的（计价格[2002]1980号）“服务招标”收费标准执行，收费金额按差额定率累进法计算。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2023年09月07日下午15：00（注：2023年09月07日下午14：30开始受理纸质响应文件）（北京时间）。2、纸质响应文件送达地点：新兴县新城镇新洲大道南69号（城北商住区东区）第二层201室开标室。3、所有纸质响应文件必须装入密封的信封或封套。纸质响应文件的正本、副本应分别封装，并在每一信封或包装的封面上注明：采购项目名称、采购项目编号、供应商名称、联系人、联系电话、“于××年××月××日××时××分（纸质响应文件递交截止时间）之前不准启封”字样、正本/副本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首批新兴县村庄规划优化提升编制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采购包1（首批新兴县村庄规划优化提升编制项目）：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采购包1（首批新兴县村庄规划优化提升编制项目）：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提供法人或者其他组织的营业执照等证明文件复印件。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合同包1(首批新兴县村庄规划优化提升编制项目)特定资格要求如下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有丙级或以上城乡规划编制资质证书，提供证书复印件并加盖供应商公章。（注：2021年7月1日前已审批或批准延续丙级城乡规划编制资质的供应商可提供有效期内的丙级城乡规划编制资质证书，除此情况外的供应商须提供有效期内的乙级或以上城乡规划编制资质证书。） （4）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（5）本项目不接受联合体参加投标，不允许转包和分包。 （6）本项目为一个整体，供应商须对全部内容进行投标，不得分拆。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参与的供应商服务全部由符合政策要求的中小企业承接。</w:t>
            </w:r>
          </w:p>
        </w:tc>
      </w:tr>
    </w:tbl>
    <w:p/>
    <w:p>
      <w:pPr>
        <w:ind w:firstLine="480"/>
      </w:pPr>
      <w:r>
        <w:rPr/>
        <w:t>表二符合性审查表：</w:t>
      </w:r>
    </w:p>
    <w:p>
      <w:pPr>
        <w:ind w:firstLine="480"/>
      </w:pPr>
    </w:p>
    <w:p/>
    <w:p>
      <w:r>
        <w:rPr/>
        <w:t>采购包1（首批新兴县村庄规划优化提升编制项目）：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采购包1(首批新兴县村庄规划优化提升编制项目):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对规划背景、工作要求、重点难点的认识 (6.0分)</w:t>
            </w:r>
            <w:r>
              <w:rPr/>
              <w:t>，（等次分值选择：</w:t>
            </w:r>
            <w:r>
              <w:rPr/>
              <w:t>0.0;</w:t>
            </w:r>
            <w:r>
              <w:rPr/>
              <w:t>2.0;</w:t>
            </w:r>
            <w:r>
              <w:rPr/>
              <w:t>4.0;</w:t>
            </w:r>
            <w:r>
              <w:rPr/>
              <w:t>6.0;</w:t>
            </w:r>
            <w:r>
              <w:rPr/>
              <w:t>）</w:t>
            </w:r>
          </w:p>
        </w:tc>
        <w:tc>
          <w:tcPr>
            <w:tcW w:type="dxa" w:w="5076"/>
          </w:tcPr>
          <w:p>
            <w:pPr>
              <w:jc w:val="left"/>
            </w:pPr>
            <w:r>
              <w:rPr/>
              <w:t>由磋商小组根据供应商对本项目规划背景、工作要求、重点难点的认识进行评审：论述深度结合新兴县实际，对本项目规划背景的认识深入、透彻，对工作要求的了解全面、深刻，能准确把握项目重点、难点并提出针对性强、可行性高的解决方案，得6分；每出现一处相对弱势或瑕疵或欠缺的，扣2分，扣完为止；无提供方案的不得分。</w:t>
            </w:r>
          </w:p>
        </w:tc>
      </w:tr>
      <w:tr>
        <w:tc>
          <w:tcPr>
            <w:tcW w:type="dxa" w:w="922"/>
            <w:gridSpan w:val="2"/>
            <w:vMerge/>
          </w:tcPr>
          <w:p/>
        </w:tc>
        <w:tc>
          <w:tcPr>
            <w:tcW w:type="dxa" w:w="2307"/>
          </w:tcPr>
          <w:p>
            <w:pPr>
              <w:jc w:val="left"/>
            </w:pPr>
            <w:r>
              <w:rPr/>
              <w:t>对相关规划的解读与衔接 (8.0分)</w:t>
            </w:r>
            <w:r>
              <w:rPr/>
              <w:t>，（等次分值选择：</w:t>
            </w:r>
            <w:r>
              <w:rPr/>
              <w:t>0.0;</w:t>
            </w:r>
            <w:r>
              <w:rPr/>
              <w:t>2.0;</w:t>
            </w:r>
            <w:r>
              <w:rPr/>
              <w:t>4.0;</w:t>
            </w:r>
            <w:r>
              <w:rPr/>
              <w:t>6.0;</w:t>
            </w:r>
            <w:r>
              <w:rPr/>
              <w:t>8.0;</w:t>
            </w:r>
            <w:r>
              <w:rPr/>
              <w:t>）</w:t>
            </w:r>
          </w:p>
        </w:tc>
        <w:tc>
          <w:tcPr>
            <w:tcW w:type="dxa" w:w="5076"/>
          </w:tcPr>
          <w:p>
            <w:pPr>
              <w:jc w:val="left"/>
            </w:pPr>
            <w:r>
              <w:rPr/>
              <w:t>由磋商小组根据供应商对相关规划的解读与衔接进行评审：对相关规划的解读全面、透彻、观点鲜明，本项目规划与相关规划衔接紧密，得8分；每出现一处相对弱势或瑕疵或欠缺的，扣2分，扣完为止；无提供方案的不得分。</w:t>
            </w:r>
          </w:p>
        </w:tc>
      </w:tr>
      <w:tr>
        <w:tc>
          <w:tcPr>
            <w:tcW w:type="dxa" w:w="922"/>
            <w:gridSpan w:val="2"/>
            <w:vMerge/>
          </w:tcPr>
          <w:p/>
        </w:tc>
        <w:tc>
          <w:tcPr>
            <w:tcW w:type="dxa" w:w="2307"/>
          </w:tcPr>
          <w:p>
            <w:pPr>
              <w:jc w:val="left"/>
            </w:pPr>
            <w:r>
              <w:rPr/>
              <w:t>对村庄基础情况的了解 (12.0分)</w:t>
            </w:r>
            <w:r>
              <w:rPr/>
              <w:t>，（等次分值选择：</w:t>
            </w:r>
            <w:r>
              <w:rPr/>
              <w:t>0.0;</w:t>
            </w:r>
            <w:r>
              <w:rPr/>
              <w:t>3.0;</w:t>
            </w:r>
            <w:r>
              <w:rPr/>
              <w:t>6.0;</w:t>
            </w:r>
            <w:r>
              <w:rPr/>
              <w:t>9.0;</w:t>
            </w:r>
            <w:r>
              <w:rPr/>
              <w:t>12.0;</w:t>
            </w:r>
            <w:r>
              <w:rPr/>
              <w:t>）</w:t>
            </w:r>
          </w:p>
        </w:tc>
        <w:tc>
          <w:tcPr>
            <w:tcW w:type="dxa" w:w="5076"/>
          </w:tcPr>
          <w:p>
            <w:pPr>
              <w:jc w:val="left"/>
            </w:pPr>
            <w:r>
              <w:rPr/>
              <w:t>由磋商小组根据供应商对本项目村庄的基础情况（内容包括但不限于永久基本农田划定、高标准农田、垦造水田、生态保护红线、河湖管理线、公益林、地灾、历史文化保护、地籍等）的了解程度进行评审：对村庄基础情况的各方面都有所了解，相关情况了解深入，图数表全面，得12分；每出现一处相对弱势或瑕疵或欠缺的，扣3分，扣完为止；无提供方案的不得分。</w:t>
            </w:r>
          </w:p>
        </w:tc>
      </w:tr>
      <w:tr>
        <w:tc>
          <w:tcPr>
            <w:tcW w:type="dxa" w:w="922"/>
            <w:gridSpan w:val="2"/>
            <w:vMerge/>
          </w:tcPr>
          <w:p/>
        </w:tc>
        <w:tc>
          <w:tcPr>
            <w:tcW w:type="dxa" w:w="2307"/>
          </w:tcPr>
          <w:p>
            <w:pPr>
              <w:jc w:val="left"/>
            </w:pPr>
            <w:r>
              <w:rPr/>
              <w:t>规划初步方案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结合现状及已编规划提出的规划初步方案进行评审：规划初步方案工作底图以最新现状数据为基础开展编制，现状分析详实，能较好地按多规合一要求融合各层次规划、部门规划和近期建设项目，技术思路和规划布局方案具备较高的针对性、合理性和可行性，图文并茂，得15分；每出现一处相对弱势或瑕疵或欠缺的，扣3分，扣完为止；无提供方案的不得分。</w:t>
            </w:r>
          </w:p>
        </w:tc>
      </w:tr>
      <w:tr>
        <w:tc>
          <w:tcPr>
            <w:tcW w:type="dxa" w:w="922"/>
            <w:gridSpan w:val="2"/>
            <w:vMerge/>
          </w:tcPr>
          <w:p/>
        </w:tc>
        <w:tc>
          <w:tcPr>
            <w:tcW w:type="dxa" w:w="2307"/>
          </w:tcPr>
          <w:p>
            <w:pPr>
              <w:jc w:val="left"/>
            </w:pPr>
            <w:r>
              <w:rPr/>
              <w:t>服务承诺及质量保证措施 (6.0分)</w:t>
            </w:r>
            <w:r>
              <w:rPr/>
              <w:t>，（等次分值选择：</w:t>
            </w:r>
            <w:r>
              <w:rPr/>
              <w:t>0.0;</w:t>
            </w:r>
            <w:r>
              <w:rPr/>
              <w:t>2.0;</w:t>
            </w:r>
            <w:r>
              <w:rPr/>
              <w:t>4.0;</w:t>
            </w:r>
            <w:r>
              <w:rPr/>
              <w:t>6.0;</w:t>
            </w:r>
            <w:r>
              <w:rPr/>
              <w:t>）</w:t>
            </w:r>
          </w:p>
        </w:tc>
        <w:tc>
          <w:tcPr>
            <w:tcW w:type="dxa" w:w="5076"/>
          </w:tcPr>
          <w:p>
            <w:pPr>
              <w:jc w:val="left"/>
            </w:pPr>
            <w:r>
              <w:rPr/>
              <w:t>由磋商小组根据供应商提供的服务承诺及质量保证措施进行评审：有针对规划编制阶段作出优于磋商文件要求的服务承诺，能针对本项目提供及时、专业化的后续服务，规划成果的质量保证措施考虑全面、详细可行，得6分；每出现一处相对弱势或瑕疵或欠缺的，扣2分，扣完为止；无提供方案的不得分。</w:t>
            </w:r>
          </w:p>
        </w:tc>
      </w:tr>
      <w:tr>
        <w:tc>
          <w:tcPr>
            <w:tcW w:type="dxa" w:w="922"/>
            <w:gridSpan w:val="2"/>
            <w:vMerge w:val="restart"/>
          </w:tcPr>
          <w:p>
            <w:pPr>
              <w:jc w:val="center"/>
            </w:pPr>
            <w:r>
              <w:rPr/>
              <w:t>商务部分</w:t>
            </w:r>
          </w:p>
        </w:tc>
        <w:tc>
          <w:tcPr>
            <w:tcW w:type="dxa" w:w="2307"/>
          </w:tcPr>
          <w:p>
            <w:pPr>
              <w:jc w:val="left"/>
            </w:pPr>
            <w:r>
              <w:rPr/>
              <w:t>同类项目业绩 (3.0分)</w:t>
            </w:r>
            <w:r>
              <w:rPr/>
              <w:t>，（等次分值选择：</w:t>
            </w:r>
            <w:r>
              <w:rPr/>
              <w:t>0.0;</w:t>
            </w:r>
            <w:r>
              <w:rPr/>
              <w:t>3.0;</w:t>
            </w:r>
            <w:r>
              <w:rPr/>
              <w:t>）</w:t>
            </w:r>
          </w:p>
        </w:tc>
        <w:tc>
          <w:tcPr>
            <w:tcW w:type="dxa" w:w="5076"/>
          </w:tcPr>
          <w:p>
            <w:pPr>
              <w:jc w:val="left"/>
            </w:pPr>
            <w:r>
              <w:rPr/>
              <w:t>供应商自2020年以来（以合同签订时间为准）承接过村庄规划类项目业绩的，得3分。 【备注：响应文件中须提供合同关键页复印件，不提供不得分。】</w:t>
            </w:r>
          </w:p>
        </w:tc>
      </w:tr>
      <w:tr>
        <w:tc>
          <w:tcPr>
            <w:tcW w:type="dxa" w:w="922"/>
            <w:gridSpan w:val="2"/>
            <w:vMerge/>
          </w:tcPr>
          <w:p/>
        </w:tc>
        <w:tc>
          <w:tcPr>
            <w:tcW w:type="dxa" w:w="2307"/>
          </w:tcPr>
          <w:p>
            <w:pPr>
              <w:jc w:val="left"/>
            </w:pPr>
            <w:r>
              <w:rPr/>
              <w:t>体系认证 (6.0分)</w:t>
            </w:r>
            <w:r>
              <w:rPr/>
              <w:t>，（等次分值选择：</w:t>
            </w:r>
            <w:r>
              <w:rPr/>
              <w:t>0.0;</w:t>
            </w:r>
            <w:r>
              <w:rPr/>
              <w:t>1.5;</w:t>
            </w:r>
            <w:r>
              <w:rPr/>
              <w:t>3.0;</w:t>
            </w:r>
            <w:r>
              <w:rPr/>
              <w:t>4.5;</w:t>
            </w:r>
            <w:r>
              <w:rPr/>
              <w:t>6.0;</w:t>
            </w:r>
            <w:r>
              <w:rPr/>
              <w:t>）</w:t>
            </w:r>
          </w:p>
        </w:tc>
        <w:tc>
          <w:tcPr>
            <w:tcW w:type="dxa" w:w="5076"/>
          </w:tcPr>
          <w:p>
            <w:pPr>
              <w:jc w:val="left"/>
            </w:pPr>
            <w:r>
              <w:rPr/>
              <w:t>供应商具有有效的质量管理体系认证证书、环境管理体系认证证书、职业健康安全管理体系认证证书和信息安全管理体系认证证书的：每提供1个得1.5分，本项最高得6分。 【备注：响应文件中须提供认证证书复印件，不提供不得分。】</w:t>
            </w:r>
          </w:p>
        </w:tc>
      </w:tr>
      <w:tr>
        <w:tc>
          <w:tcPr>
            <w:tcW w:type="dxa" w:w="922"/>
            <w:gridSpan w:val="2"/>
            <w:vMerge/>
          </w:tcPr>
          <w:p/>
        </w:tc>
        <w:tc>
          <w:tcPr>
            <w:tcW w:type="dxa" w:w="2307"/>
          </w:tcPr>
          <w:p>
            <w:pPr>
              <w:jc w:val="left"/>
            </w:pPr>
            <w:r>
              <w:rPr/>
              <w:t>拟投入本项目的人员 (26.0分)</w:t>
            </w:r>
          </w:p>
        </w:tc>
        <w:tc>
          <w:tcPr>
            <w:tcW w:type="dxa" w:w="5076"/>
          </w:tcPr>
          <w:p>
            <w:pPr>
              <w:jc w:val="left"/>
            </w:pPr>
            <w:r>
              <w:rPr/>
              <w:t>1、项目负责人（1人，7分）： （1）具备注册城乡规划师注册证书的，得1.5分；同时具备城市（乡）规划专业高级工程师或以上职称证书的，加1.5分；本小项最高得3分。 （2）获得过省级（含）以上政府部门或协会颁发的规划、建筑、勘察、咨询类奖项的，每一类奖项得1分，本小项最高得4分。 2、项目组成员（不含项目负责人）： （1）技术负责人（1人，7分）： ①具备注册城乡规划师注册证书的，得1.5分；同时具备建筑工程或市政工程专业高级工程师或以上职称证书的，加1.5分；本小项最高得3分。 ②获得过省级（含）以上政府部门或协会颁发的优秀城乡规划设计奖的，每一个奖项得1分，本小项最高得4分。 （2）其他成员（12分，同一人员持多个证书的不重复计分，按得分最高的证书计分，证书分值相同的任选其一计分）： ①同时具备城市（乡）规划专业中级或以上职称证书、注册城乡规划师注册证书的，每一人得1.5分，本小项最高得3分。 ②具备建筑工程类、给水排水设计类、经济地理类、测绘类专业高级工程师或以上职称证书的，每类人员得1.5分，本小项最高得6分。 ③具备规划类、园林景观类、会计类专业中级或以上职称证书的，每一人得0.5分，本小项最高得3分。 【备注：（1）响应文件中须提供以上人员相关证明材料复印件；（2）供应商须同时提供其为项目人员购买的近三个月社保证明文件（社保证明由社保管理相关部门出具并盖章）复印件；如为退休人员，则提供退休证及供应商与其签订的聘用合同等证明文件复印件；（3）各项不提供相应证明材料的不计分。】</w:t>
            </w:r>
          </w:p>
        </w:tc>
      </w:tr>
      <w:tr>
        <w:tc>
          <w:tcPr>
            <w:tcW w:type="dxa" w:w="922"/>
            <w:gridSpan w:val="2"/>
            <w:vMerge/>
          </w:tcPr>
          <w:p/>
        </w:tc>
        <w:tc>
          <w:tcPr>
            <w:tcW w:type="dxa" w:w="2307"/>
          </w:tcPr>
          <w:p>
            <w:pPr>
              <w:jc w:val="left"/>
            </w:pPr>
            <w:r>
              <w:rPr/>
              <w:t>服务便利性 (5.0分)</w:t>
            </w:r>
            <w:r>
              <w:rPr/>
              <w:t>，（等次分值选择：</w:t>
            </w:r>
            <w:r>
              <w:rPr/>
              <w:t>0.0;</w:t>
            </w:r>
            <w:r>
              <w:rPr/>
              <w:t>1.0;</w:t>
            </w:r>
            <w:r>
              <w:rPr/>
              <w:t>3.0;</w:t>
            </w:r>
            <w:r>
              <w:rPr/>
              <w:t>5.0;</w:t>
            </w:r>
            <w:r>
              <w:rPr/>
              <w:t>）</w:t>
            </w:r>
          </w:p>
        </w:tc>
        <w:tc>
          <w:tcPr>
            <w:tcW w:type="dxa" w:w="5076"/>
          </w:tcPr>
          <w:p>
            <w:pPr>
              <w:jc w:val="left"/>
            </w:pPr>
            <w:r>
              <w:rPr/>
              <w:t>为保证服务响应时效，由磋商小组对供应商服务机构的便利性进行评审： （1）距离≤30公里的，得5分； （2）30公里＜距离≤90公里的，得3分； （3）90公里＜距离≤150公里的，得1分； （4）距离＞150公里的，不得分。 【备注：以供应商服务机构营业执照地址到新兴县自然资源局的距离为准，响应文件中须同时提供服务机构营业执照复印件和百度地图距离查询截图，不提供不得分。】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w:t>
      </w:r>
      <w:r>
        <w:rPr>
          <w:b/>
          <w:sz w:val="21"/>
        </w:rPr>
        <w:t>本合同仅为合同的参考文本，合同签订双方应按照磋商文件的要求和响应文件的承诺进行修订。</w:t>
      </w:r>
    </w:p>
    <w:p>
      <w:r>
        <w:rPr>
          <w:b/>
          <w:sz w:val="21"/>
        </w:rPr>
        <w:t>2、根据《关于印发&lt;政府采购促进中小企业发展管理办法&gt;的通知》（财库〔2020〕46号），本合同为中小企业预留合同。</w:t>
      </w:r>
    </w:p>
    <w:p>
      <w:pPr>
        <w:jc w:val="center"/>
      </w:pPr>
    </w:p>
    <w:p>
      <w:pPr>
        <w:jc w:val="center"/>
      </w:pPr>
    </w:p>
    <w:p>
      <w:pPr>
        <w:jc w:val="center"/>
      </w:pPr>
      <w:r>
        <w:rPr/>
        <w:t xml:space="preserve"> </w:t>
      </w:r>
    </w:p>
    <w:p>
      <w:pPr>
        <w:jc w:val="center"/>
      </w:pPr>
      <w:r>
        <w:rPr/>
        <w:t xml:space="preserve"> </w:t>
      </w:r>
    </w:p>
    <w:p>
      <w:pPr>
        <w:jc w:val="center"/>
      </w:pPr>
      <w:r>
        <w:rPr>
          <w:b/>
          <w:sz w:val="84"/>
        </w:rPr>
        <w:t>政府采购项目</w:t>
      </w:r>
    </w:p>
    <w:p/>
    <w:p/>
    <w:p>
      <w:pPr>
        <w:jc w:val="center"/>
      </w:pPr>
      <w:r>
        <w:rPr/>
        <w:t xml:space="preserve"> </w:t>
      </w:r>
    </w:p>
    <w:p>
      <w:pPr>
        <w:jc w:val="center"/>
      </w:pPr>
      <w:r>
        <w:rPr/>
        <w:t xml:space="preserve"> </w:t>
      </w:r>
    </w:p>
    <w:p>
      <w:pPr>
        <w:jc w:val="center"/>
      </w:pPr>
      <w:r>
        <w:rPr>
          <w:b/>
          <w:sz w:val="52"/>
        </w:rPr>
        <w:t>合</w:t>
      </w:r>
    </w:p>
    <w:p>
      <w:pPr>
        <w:jc w:val="center"/>
      </w:pPr>
    </w:p>
    <w:p>
      <w:pPr>
        <w:jc w:val="center"/>
      </w:pPr>
      <w:r>
        <w:rPr>
          <w:b/>
          <w:sz w:val="52"/>
        </w:rPr>
        <w:t>同</w:t>
      </w:r>
    </w:p>
    <w:p>
      <w:pPr>
        <w:jc w:val="center"/>
      </w:pPr>
    </w:p>
    <w:p>
      <w:pPr>
        <w:jc w:val="center"/>
      </w:pPr>
      <w:r>
        <w:rPr>
          <w:b/>
          <w:sz w:val="52"/>
        </w:rPr>
        <w:t>书</w:t>
      </w:r>
    </w:p>
    <w:p/>
    <w:p>
      <w:pPr>
        <w:jc w:val="both"/>
      </w:pPr>
    </w:p>
    <w:p/>
    <w:p>
      <w:pPr>
        <w:ind w:firstLine="281"/>
      </w:pPr>
      <w:r>
        <w:rPr/>
        <w:t xml:space="preserve"> </w:t>
      </w:r>
    </w:p>
    <w:p>
      <w:pPr>
        <w:ind w:firstLine="281"/>
      </w:pPr>
      <w:r>
        <w:rPr/>
        <w:t xml:space="preserve"> </w:t>
      </w:r>
    </w:p>
    <w:p>
      <w:pPr>
        <w:ind w:firstLine="281"/>
      </w:pPr>
      <w:r>
        <w:rPr>
          <w:b/>
          <w:sz w:val="28"/>
        </w:rPr>
        <w:t>项目名称：</w:t>
      </w:r>
      <w:r>
        <w:rPr>
          <w:b/>
          <w:sz w:val="21"/>
          <w:u w:val="single"/>
        </w:rPr>
        <w:t xml:space="preserve">                          </w:t>
      </w:r>
    </w:p>
    <w:p>
      <w:pPr>
        <w:ind w:firstLine="281"/>
      </w:pPr>
      <w:r>
        <w:rPr>
          <w:b/>
          <w:sz w:val="28"/>
        </w:rPr>
        <w:t>合同编号：</w:t>
      </w:r>
      <w:r>
        <w:rPr>
          <w:b/>
          <w:sz w:val="21"/>
          <w:u w:val="single"/>
        </w:rPr>
        <w:t xml:space="preserve">                          </w:t>
      </w:r>
    </w:p>
    <w:p>
      <w:pPr>
        <w:ind w:firstLine="281"/>
      </w:pPr>
      <w:r>
        <w:rPr>
          <w:b/>
          <w:sz w:val="28"/>
        </w:rPr>
        <w:t>签约地点：</w:t>
      </w:r>
      <w:r>
        <w:rPr>
          <w:b/>
          <w:sz w:val="21"/>
          <w:u w:val="single"/>
        </w:rPr>
        <w:t xml:space="preserve">                          </w:t>
      </w:r>
    </w:p>
    <w:p>
      <w:pPr>
        <w:ind w:firstLine="281"/>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Pr>
        <w:jc w:val="center"/>
      </w:pPr>
    </w:p>
    <w:p/>
    <w:p/>
    <w:p>
      <w:pPr>
        <w:pBdr>
          <w:bottom w:val="single" w:sz="12" w:space="1"/>
        </w:pBdr>
      </w:pPr>
    </w:p>
    <w:p>
      <w:r>
        <w:rPr>
          <w:b/>
          <w:sz w:val="21"/>
        </w:rPr>
        <w:t>甲</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
      <w:pPr>
        <w:ind w:firstLine="420"/>
      </w:pPr>
      <w:r>
        <w:rPr>
          <w:sz w:val="21"/>
        </w:rPr>
        <w:t>根据</w:t>
      </w:r>
      <w:r>
        <w:rPr>
          <w:sz w:val="21"/>
          <w:u w:val="single"/>
        </w:rPr>
        <w:t xml:space="preserve">                          </w:t>
      </w:r>
      <w:r>
        <w:rPr>
          <w:sz w:val="21"/>
        </w:rPr>
        <w:t>项目（</w:t>
      </w:r>
      <w:r>
        <w:rPr>
          <w:sz w:val="21"/>
        </w:rPr>
        <w:t>采购项目编号</w:t>
      </w:r>
      <w:r>
        <w:rPr>
          <w:sz w:val="21"/>
        </w:rPr>
        <w:t>：</w:t>
      </w:r>
      <w:r>
        <w:rPr>
          <w:sz w:val="21"/>
          <w:u w:val="single"/>
        </w:rPr>
        <w:t xml:space="preserve">         </w:t>
      </w:r>
      <w:r>
        <w:rPr>
          <w:sz w:val="21"/>
        </w:rPr>
        <w:t>）的采购结果，按照《中华人民共和国政府采购法》、《</w:t>
      </w:r>
      <w:r>
        <w:rPr>
          <w:sz w:val="21"/>
        </w:rPr>
        <w:t>中华人民共和国</w:t>
      </w:r>
      <w:r>
        <w:rPr>
          <w:sz w:val="21"/>
        </w:rPr>
        <w:t>民法典》的规定，</w:t>
      </w:r>
      <w:r>
        <w:rPr>
          <w:sz w:val="21"/>
        </w:rPr>
        <w:t>经双方协商，</w:t>
      </w:r>
      <w:r>
        <w:rPr>
          <w:sz w:val="21"/>
        </w:rPr>
        <w:t>本着平等互利和诚实信用的原则，</w:t>
      </w:r>
      <w:r>
        <w:rPr>
          <w:sz w:val="21"/>
        </w:rPr>
        <w:t>一致同意签订本合同如下</w:t>
      </w:r>
      <w:r>
        <w:rPr>
          <w:sz w:val="21"/>
        </w:rPr>
        <w:t>。</w:t>
      </w:r>
    </w:p>
    <w:p>
      <w:r>
        <w:rPr>
          <w:b/>
          <w:sz w:val="21"/>
        </w:rPr>
        <w:t>一、</w:t>
      </w:r>
      <w:r>
        <w:rPr>
          <w:b/>
          <w:sz w:val="21"/>
        </w:rPr>
        <w:t>合同金额</w:t>
      </w:r>
    </w:p>
    <w:p>
      <w:pPr>
        <w:ind w:firstLine="420"/>
      </w:pPr>
      <w:r>
        <w:rPr>
          <w:sz w:val="21"/>
        </w:rPr>
        <w:t>合同金额为人民币：</w:t>
      </w:r>
      <w:r>
        <w:rPr>
          <w:sz w:val="21"/>
          <w:u w:val="single"/>
        </w:rPr>
        <w:t xml:space="preserve">                      </w:t>
      </w:r>
      <w:r>
        <w:rPr>
          <w:sz w:val="21"/>
        </w:rPr>
        <w:t>（</w:t>
      </w:r>
      <w:r>
        <w:rPr>
          <w:sz w:val="21"/>
        </w:rPr>
        <w:t>¥</w:t>
      </w:r>
      <w:r>
        <w:rPr>
          <w:sz w:val="21"/>
          <w:u w:val="single"/>
        </w:rPr>
        <w:t xml:space="preserve">            </w:t>
      </w:r>
      <w:r>
        <w:rPr>
          <w:sz w:val="21"/>
        </w:rPr>
        <w:t>）。</w:t>
      </w:r>
    </w:p>
    <w:p>
      <w:pPr>
        <w:jc w:val="both"/>
      </w:pPr>
      <w:r>
        <w:rPr>
          <w:b/>
          <w:sz w:val="21"/>
        </w:rPr>
        <w:t>二、服务</w:t>
      </w:r>
      <w:r>
        <w:rPr>
          <w:b/>
          <w:sz w:val="21"/>
        </w:rPr>
        <w:t>范围</w:t>
      </w:r>
    </w:p>
    <w:p>
      <w:r>
        <w:rPr>
          <w:sz w:val="21"/>
        </w:rPr>
        <w:t>1、本合同项下的服务指</w:t>
      </w:r>
      <w:r>
        <w:rPr>
          <w:sz w:val="21"/>
          <w:u w:val="single"/>
        </w:rPr>
        <w:t xml:space="preserve">                            </w:t>
      </w:r>
      <w:r>
        <w:rPr>
          <w:sz w:val="21"/>
        </w:rPr>
        <w:t>。</w:t>
      </w:r>
    </w:p>
    <w:p>
      <w:r>
        <w:rPr>
          <w:sz w:val="21"/>
        </w:rPr>
        <w:t>2、</w:t>
      </w:r>
      <w:r>
        <w:rPr>
          <w:sz w:val="21"/>
        </w:rPr>
        <w:t>……</w:t>
      </w:r>
    </w:p>
    <w:p>
      <w:r>
        <w:rPr>
          <w:sz w:val="21"/>
        </w:rPr>
        <w:t>3、</w:t>
      </w:r>
      <w:r>
        <w:rPr>
          <w:sz w:val="21"/>
        </w:rPr>
        <w:t>……</w:t>
      </w:r>
    </w:p>
    <w:p>
      <w:pPr>
        <w:jc w:val="both"/>
      </w:pPr>
      <w:r>
        <w:rPr>
          <w:b/>
          <w:sz w:val="21"/>
        </w:rPr>
        <w:t>三、履行期限、地点和方式</w:t>
      </w:r>
    </w:p>
    <w:p>
      <w:pPr>
        <w:ind w:firstLine="435"/>
      </w:pPr>
      <w:r>
        <w:rPr>
          <w:sz w:val="21"/>
        </w:rPr>
        <w:t>……</w:t>
      </w:r>
    </w:p>
    <w:p>
      <w:pPr>
        <w:jc w:val="both"/>
      </w:pPr>
      <w:r>
        <w:rPr>
          <w:b/>
          <w:sz w:val="21"/>
        </w:rPr>
        <w:t>四、</w:t>
      </w:r>
      <w:r>
        <w:rPr>
          <w:b/>
          <w:sz w:val="21"/>
        </w:rPr>
        <w:t>服务要求</w:t>
      </w:r>
    </w:p>
    <w:p>
      <w:pPr>
        <w:ind w:firstLine="435"/>
      </w:pPr>
      <w:r>
        <w:rPr>
          <w:sz w:val="21"/>
        </w:rPr>
        <w:t>……</w:t>
      </w:r>
    </w:p>
    <w:p>
      <w:pPr>
        <w:jc w:val="both"/>
      </w:pPr>
      <w:r>
        <w:rPr>
          <w:b/>
          <w:sz w:val="21"/>
        </w:rPr>
        <w:t>五、验收要求</w:t>
      </w:r>
    </w:p>
    <w:p>
      <w:pPr>
        <w:ind w:firstLine="435"/>
      </w:pPr>
      <w:r>
        <w:rPr>
          <w:sz w:val="21"/>
        </w:rPr>
        <w:t>……</w:t>
      </w:r>
    </w:p>
    <w:p>
      <w:pPr>
        <w:jc w:val="both"/>
      </w:pPr>
      <w:r>
        <w:rPr>
          <w:b/>
          <w:sz w:val="21"/>
        </w:rPr>
        <w:t>六、付款方式</w:t>
      </w:r>
    </w:p>
    <w:p>
      <w:pPr>
        <w:ind w:firstLine="435"/>
      </w:pPr>
      <w:r>
        <w:rPr>
          <w:sz w:val="21"/>
        </w:rPr>
        <w:t>……</w:t>
      </w:r>
    </w:p>
    <w:p>
      <w:pPr>
        <w:ind w:firstLine="435"/>
      </w:pPr>
      <w:r>
        <w:rPr>
          <w:sz w:val="21"/>
        </w:rPr>
        <w:t>注：甲方延迟支付乙方款项的，按照每日利率万分之五向乙方支付逾期利息。</w:t>
      </w:r>
    </w:p>
    <w:p>
      <w:pPr>
        <w:jc w:val="both"/>
      </w:pPr>
      <w:r>
        <w:rPr>
          <w:b/>
          <w:sz w:val="21"/>
        </w:rPr>
        <w:t>七、其他商务要求（如有）</w:t>
      </w:r>
    </w:p>
    <w:p>
      <w:pPr>
        <w:ind w:firstLine="420"/>
        <w:jc w:val="both"/>
      </w:pPr>
      <w:r>
        <w:rPr>
          <w:sz w:val="21"/>
        </w:rPr>
        <w:t>……</w:t>
      </w:r>
    </w:p>
    <w:p>
      <w:pPr>
        <w:jc w:val="both"/>
      </w:pPr>
      <w:r>
        <w:rPr>
          <w:b/>
          <w:sz w:val="21"/>
        </w:rPr>
        <w:t>八、甲乙双方的权利和义务</w:t>
      </w:r>
    </w:p>
    <w:p>
      <w:r>
        <w:rPr>
          <w:sz w:val="21"/>
        </w:rPr>
        <w:t>1、</w:t>
      </w:r>
      <w:r>
        <w:rPr>
          <w:sz w:val="21"/>
        </w:rPr>
        <w:t>甲方的权利和义务</w:t>
      </w:r>
    </w:p>
    <w:p>
      <w:pPr>
        <w:ind w:firstLine="420"/>
      </w:pPr>
      <w:r>
        <w:rPr>
          <w:sz w:val="21"/>
        </w:rPr>
        <w:t>……</w:t>
      </w:r>
    </w:p>
    <w:p>
      <w:r>
        <w:rPr>
          <w:sz w:val="21"/>
        </w:rPr>
        <w:t>2、</w:t>
      </w:r>
      <w:r>
        <w:rPr>
          <w:sz w:val="21"/>
        </w:rPr>
        <w:t>乙方的权利和义务</w:t>
      </w:r>
    </w:p>
    <w:p>
      <w:pPr>
        <w:ind w:firstLine="420"/>
      </w:pPr>
      <w:r>
        <w:rPr>
          <w:sz w:val="21"/>
        </w:rPr>
        <w:t>……</w:t>
      </w:r>
    </w:p>
    <w:p>
      <w:r>
        <w:rPr>
          <w:b/>
          <w:sz w:val="21"/>
        </w:rPr>
        <w:t>九、违约责任</w:t>
      </w:r>
    </w:p>
    <w:p>
      <w:pPr>
        <w:ind w:firstLine="420"/>
      </w:pPr>
      <w:r>
        <w:rPr>
          <w:sz w:val="21"/>
        </w:rPr>
        <w:t>……</w:t>
      </w:r>
    </w:p>
    <w:p>
      <w:r>
        <w:rPr>
          <w:b/>
          <w:sz w:val="21"/>
        </w:rPr>
        <w:t>十、其他条款（如有需要，甲乙双方可根据实际增加合同条款）</w:t>
      </w:r>
    </w:p>
    <w:p>
      <w:pPr>
        <w:ind w:firstLine="420"/>
      </w:pPr>
      <w:r>
        <w:rPr>
          <w:sz w:val="21"/>
        </w:rPr>
        <w:t>……</w:t>
      </w:r>
    </w:p>
    <w:p>
      <w:r>
        <w:rPr>
          <w:b/>
          <w:sz w:val="21"/>
        </w:rPr>
        <w:t>十一、合同变更</w:t>
      </w:r>
    </w:p>
    <w:p>
      <w:r>
        <w:rPr>
          <w:sz w:val="21"/>
        </w:rPr>
        <w:t>1、乙方根据现场实际情况，发现合同原计划或方案不尽合理，确实需变更原合同约定的，应及时通知甲方，并提出变更理由、修正方案及变更清单，经双方协商并签署有关文件（作为合同附件），并报政府采购监管部门同意后实施。</w:t>
      </w:r>
    </w:p>
    <w:p>
      <w:r>
        <w:rPr>
          <w:sz w:val="21"/>
        </w:rPr>
        <w:t>2、无论是按原合同要求，或是根据现场实际情况作出变更，乙方都不能免除其应承担的责任。</w:t>
      </w:r>
    </w:p>
    <w:p>
      <w:r>
        <w:rPr>
          <w:b/>
          <w:sz w:val="21"/>
        </w:rPr>
        <w:t>十二、合同解除和终止</w:t>
      </w:r>
    </w:p>
    <w:p>
      <w:r>
        <w:rPr>
          <w:sz w:val="21"/>
        </w:rPr>
        <w:t>1、合同自然终止</w:t>
      </w:r>
    </w:p>
    <w:p>
      <w:pPr>
        <w:ind w:firstLine="525"/>
      </w:pPr>
      <w:r>
        <w:rPr>
          <w:sz w:val="21"/>
        </w:rPr>
        <w:t>甲乙双方各自完成合同规定的责任和义务，合同自然终止。</w:t>
      </w:r>
    </w:p>
    <w:p>
      <w:r>
        <w:rPr>
          <w:sz w:val="21"/>
        </w:rPr>
        <w:t>2、违约违规终止合同</w:t>
      </w:r>
    </w:p>
    <w:p>
      <w:r>
        <w:rPr>
          <w:sz w:val="21"/>
        </w:rPr>
        <w:t>（</w:t>
      </w:r>
      <w:r>
        <w:rPr>
          <w:sz w:val="21"/>
        </w:rPr>
        <w:t>1）在甲方对乙方违约违规而采取的任何补救措施不受影响的情况下，甲方可向乙方发出书面的违约通知书，提出终止部分或全部合同。</w:t>
      </w:r>
    </w:p>
    <w:p>
      <w:r>
        <w:rPr>
          <w:sz w:val="21"/>
        </w:rPr>
        <w:t>（</w:t>
      </w:r>
      <w:r>
        <w:rPr>
          <w:sz w:val="21"/>
        </w:rPr>
        <w:t>2）如果乙方未能在合同规定的期限内提供服务。</w:t>
      </w:r>
    </w:p>
    <w:p>
      <w:r>
        <w:rPr>
          <w:sz w:val="21"/>
        </w:rPr>
        <w:t>（</w:t>
      </w:r>
      <w:r>
        <w:rPr>
          <w:sz w:val="21"/>
        </w:rPr>
        <w:t>3）如果乙方未能履行合同规定的其它任何义务。</w:t>
      </w:r>
    </w:p>
    <w:p>
      <w:r>
        <w:rPr>
          <w:sz w:val="21"/>
        </w:rPr>
        <w:t>（</w:t>
      </w:r>
      <w:r>
        <w:rPr>
          <w:sz w:val="21"/>
        </w:rPr>
        <w:t>4）如果甲方认为乙方在本合同的投标竞争和实施过程中有违反有关政府采购的法律、法规，涉嫌用不正当手段影响甲方采购过程，包括谎报或隐瞒事实、损害甲方利益、干扰甲方、评委、采购代理机构的招标、评标等行为。</w:t>
      </w:r>
    </w:p>
    <w:p>
      <w:r>
        <w:rPr>
          <w:sz w:val="21"/>
        </w:rPr>
        <w:t>3、因乙方破产而终止合同</w:t>
      </w:r>
    </w:p>
    <w:p>
      <w:pPr>
        <w:ind w:firstLine="420"/>
      </w:pPr>
      <w:r>
        <w:rPr>
          <w:sz w:val="21"/>
        </w:rPr>
        <w:t>如果乙方破产或无清偿能力，甲方可在任何时候以书面形式通知乙方，提出终止合同而不给乙方补偿。该合同的终止将不损害或影响甲方已经采取或将要采取的任何行动或补救措施的权利。</w:t>
      </w:r>
    </w:p>
    <w:p>
      <w:r>
        <w:rPr>
          <w:b/>
          <w:sz w:val="21"/>
        </w:rPr>
        <w:t>十三、争议的解决</w:t>
      </w:r>
    </w:p>
    <w:p>
      <w:pPr>
        <w:ind w:firstLine="420"/>
      </w:pPr>
      <w:r>
        <w:rPr>
          <w:sz w:val="21"/>
        </w:rPr>
        <w:t>合同执行过程中发生的任何争议，如双方不能通过友好协商解决，按相关法律法规处理。</w:t>
      </w:r>
    </w:p>
    <w:p>
      <w:r>
        <w:rPr>
          <w:b/>
          <w:sz w:val="21"/>
        </w:rPr>
        <w:t>十四、不可抗力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1日内向对方通报，以减轻可能给对方造成的损失，在取得有关机构的不可抗力证明或对方谅解确认后，允许延期履行或修订合同，并根据情况可部分或全部免于承担违约责任。</w:t>
      </w:r>
    </w:p>
    <w:p>
      <w:r>
        <w:rPr>
          <w:b/>
          <w:sz w:val="21"/>
        </w:rPr>
        <w:t>十五、税费</w:t>
      </w:r>
    </w:p>
    <w:p>
      <w:pPr>
        <w:ind w:firstLine="411"/>
      </w:pPr>
      <w:r>
        <w:rPr>
          <w:sz w:val="21"/>
        </w:rPr>
        <w:t>在中国境内、外发生的与本合同执行有关的一切税费均由乙方负担。</w:t>
      </w:r>
    </w:p>
    <w:p>
      <w:r>
        <w:rPr>
          <w:b/>
          <w:sz w:val="21"/>
        </w:rPr>
        <w:t>十六、其它</w:t>
      </w:r>
    </w:p>
    <w:p>
      <w:pPr>
        <w:jc w:val="both"/>
      </w:pPr>
      <w:r>
        <w:rPr>
          <w:sz w:val="21"/>
        </w:rPr>
        <w:t>1、本项目磋商文件、响应文件、成交通知书及本合同所有附件均为合同的有效组成部分，与本合同具有同等法律效力。</w:t>
      </w:r>
    </w:p>
    <w:p>
      <w:pPr>
        <w:jc w:val="both"/>
      </w:pPr>
      <w:r>
        <w:rPr>
          <w:sz w:val="21"/>
        </w:rPr>
        <w:t>2、在执行本合同的过程中，所有经双方签署确认的文件（包括会议纪要、补充协议、往来信函）即成为本合同的有效组成部分。</w:t>
      </w:r>
    </w:p>
    <w:p>
      <w:pPr>
        <w:jc w:val="both"/>
      </w:pPr>
      <w:r>
        <w:rPr>
          <w:sz w:val="21"/>
        </w:rPr>
        <w:t>3、如一方地址、电话、传真号码有变更，应在变更当日内书面通知对方，否则，应承担相应责任。</w:t>
      </w:r>
    </w:p>
    <w:p>
      <w:pPr>
        <w:jc w:val="both"/>
      </w:pPr>
      <w:r>
        <w:rPr>
          <w:sz w:val="21"/>
        </w:rPr>
        <w:t>4、除甲方事先书面同意外，乙方不得部分或全部转让其应履行的合同项下的义务。</w:t>
      </w:r>
    </w:p>
    <w:p>
      <w:r>
        <w:rPr>
          <w:b/>
          <w:sz w:val="21"/>
        </w:rPr>
        <w:t>十七、合同生效</w:t>
      </w:r>
    </w:p>
    <w:p>
      <w:pPr>
        <w:jc w:val="both"/>
      </w:pPr>
      <w:r>
        <w:rPr>
          <w:sz w:val="21"/>
        </w:rPr>
        <w:t>1、本合同在甲乙双方法定代表人或其授权代表签字盖章后生效，合同签署日期以较迟签注的日期为准。</w:t>
      </w:r>
    </w:p>
    <w:p>
      <w:pPr>
        <w:jc w:val="both"/>
      </w:pPr>
      <w:r>
        <w:rPr>
          <w:sz w:val="21"/>
        </w:rPr>
        <w:t>2、本合同一式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1</w:t>
      </w:r>
      <w:r>
        <w:rPr>
          <w:sz w:val="21"/>
        </w:rPr>
        <w:t>份。</w:t>
      </w:r>
    </w:p>
    <w:p>
      <w:pPr>
        <w:jc w:val="both"/>
      </w:pPr>
    </w:p>
    <w:p>
      <w:r>
        <w:rPr/>
        <w:t xml:space="preserve"> </w:t>
      </w:r>
    </w:p>
    <w:p>
      <w:r>
        <w:rPr/>
        <w:t xml:space="preserve"> </w:t>
      </w:r>
    </w:p>
    <w:p>
      <w:r>
        <w:rPr>
          <w:b/>
          <w:sz w:val="21"/>
        </w:rPr>
        <w:t>甲方（盖章）：</w:t>
      </w:r>
      <w:r>
        <w:rPr>
          <w:b/>
          <w:sz w:val="21"/>
        </w:rPr>
        <w:t xml:space="preserve">                   </w:t>
      </w:r>
      <w:r>
        <w:rPr>
          <w:b/>
          <w:sz w:val="21"/>
        </w:rPr>
        <w:t>乙方（盖章）：</w:t>
      </w:r>
    </w:p>
    <w:p>
      <w:r>
        <w:rPr>
          <w:b/>
          <w:sz w:val="21"/>
        </w:rPr>
        <w:t>法定代表人或委托人：</w:t>
      </w:r>
      <w:r>
        <w:rPr>
          <w:b/>
          <w:sz w:val="21"/>
        </w:rPr>
        <w:t xml:space="preserve">                       </w:t>
      </w:r>
      <w:r>
        <w:rPr>
          <w:b/>
          <w:sz w:val="21"/>
        </w:rPr>
        <w:t xml:space="preserve"> </w:t>
      </w:r>
      <w:r>
        <w:rPr>
          <w:b/>
          <w:sz w:val="21"/>
        </w:rPr>
        <w:t>法定代表人或委托人：</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r>
        <w:rPr>
          <w:sz w:val="21"/>
        </w:rPr>
        <w:t xml:space="preserve">                                      开户名称：</w:t>
      </w:r>
    </w:p>
    <w:p>
      <w:r>
        <w:rPr>
          <w:sz w:val="21"/>
        </w:rPr>
        <w:t xml:space="preserve">                                      银行账号：</w:t>
      </w:r>
    </w:p>
    <w:p>
      <w:r>
        <w:rPr>
          <w:sz w:val="21"/>
        </w:rPr>
        <w:t xml:space="preserve">                                      开</w:t>
      </w:r>
      <w:r>
        <w:rPr>
          <w:sz w:val="21"/>
        </w:rPr>
        <w:t>户</w:t>
      </w:r>
      <w:r>
        <w:rPr>
          <w:sz w:val="21"/>
        </w:rPr>
        <w:t>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445321-2023-01155</w:t>
      </w:r>
    </w:p>
    <w:p>
      <w:pPr>
        <w:jc w:val="center"/>
      </w:pPr>
      <w:r>
        <w:rPr>
          <w:b/>
          <w:sz w:val="24"/>
        </w:rPr>
        <w:t>采购项目编号：</w:t>
      </w:r>
      <w:r>
        <w:rPr>
          <w:b/>
          <w:sz w:val="24"/>
        </w:rPr>
        <w:t>YFZC23FC0124</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首批新兴县村庄规划优化提升编制项目</w:t>
      </w:r>
      <w:r>
        <w:rPr>
          <w:u w:val="single"/>
        </w:rPr>
        <w:t>”</w:t>
      </w:r>
      <w:r>
        <w:rPr/>
        <w:t>项目的竞争性磋商[采购项目编号为：</w:t>
      </w:r>
      <w:r>
        <w:rPr>
          <w:u w:val="single"/>
        </w:rPr>
        <w:t>YFZC23FC0124</w:t>
      </w:r>
      <w:r>
        <w:rPr/>
        <w:t>]，我方愿参与响应。</w:t>
      </w:r>
    </w:p>
    <w:p>
      <w:pPr>
        <w:ind w:firstLine="480"/>
      </w:pPr>
      <w:r>
        <w:rPr/>
        <w:t>我方确认收到贵方提供的</w:t>
      </w:r>
      <w:r>
        <w:rPr>
          <w:u w:val="single"/>
        </w:rPr>
        <w:t>“</w:t>
      </w:r>
      <w:r>
        <w:rPr>
          <w:u w:val="single"/>
        </w:rPr>
        <w:t>首批新兴县村庄规划优化提升编制项目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首批新兴县村庄规划优化提升编制项目</w:t>
      </w:r>
      <w:r>
        <w:rPr/>
        <w:t>”项目采购[采购项目编号为</w:t>
      </w:r>
      <w:r>
        <w:rPr/>
        <w:t>YFZC23FC0124</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新兴县自然资源局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首批新兴县村庄规划优化提升编制项目</w:t>
      </w:r>
      <w:r>
        <w:rPr/>
        <w:t>（采购项目编号：</w:t>
      </w:r>
      <w:r>
        <w:rPr/>
        <w:t>YFZC23FC0124</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首批新兴县村庄规划优化提升编制项目</w:t>
      </w:r>
      <w:r>
        <w:rPr/>
        <w:t>”项目（采购项目编号：</w:t>
      </w:r>
      <w:r>
        <w:rPr/>
        <w:t>YFZC23FC0124</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