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445321-2023-01138</w:t>
      </w:r>
    </w:p>
    <w:p>
      <w:pPr>
        <w:jc w:val="center"/>
      </w:pPr>
      <w:r>
        <w:rPr>
          <w:b/>
          <w:sz w:val="24"/>
        </w:rPr>
        <w:t>采购项目编号：</w:t>
      </w:r>
      <w:r>
        <w:rPr>
          <w:b/>
          <w:sz w:val="24"/>
        </w:rPr>
        <w:t>YFZC23FC0115</w:t>
      </w:r>
    </w:p>
    <w:p>
      <w:pPr>
        <w:jc w:val="center"/>
      </w:pPr>
      <w:r>
        <w:rPr>
          <w:b/>
          <w:sz w:val="24"/>
        </w:rPr>
        <w:t>项目名称：</w:t>
      </w:r>
      <w:r>
        <w:rPr>
          <w:b/>
          <w:sz w:val="24"/>
        </w:rPr>
        <w:t>新兴县社区居家养老综合服务示范中心运营（2023-2025年）</w:t>
      </w:r>
    </w:p>
    <w:p>
      <w:pPr>
        <w:jc w:val="center"/>
      </w:pPr>
      <w:r>
        <w:rPr>
          <w:b/>
          <w:sz w:val="24"/>
        </w:rPr>
        <w:t>采购人：</w:t>
      </w:r>
      <w:r>
        <w:rPr>
          <w:b/>
          <w:sz w:val="24"/>
        </w:rPr>
        <w:t>新兴县民政局</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新兴县民政局</w:t>
      </w:r>
      <w:r>
        <w:rPr/>
        <w:t>的委托，采用</w:t>
      </w:r>
      <w:r>
        <w:rPr/>
        <w:t>竞争性磋商</w:t>
      </w:r>
      <w:r>
        <w:rPr/>
        <w:t>方式组织采购</w:t>
      </w:r>
      <w:r>
        <w:rPr/>
        <w:t>新兴县社区居家养老综合服务示范中心运营（2023-2025年）</w:t>
      </w:r>
      <w:r>
        <w:rPr/>
        <w:t>。欢迎符合资格条件的供应商参加。</w:t>
      </w:r>
    </w:p>
    <w:p>
      <w:r>
        <w:rPr>
          <w:b/>
          <w:sz w:val="28"/>
        </w:rPr>
        <w:t>一.项目概述</w:t>
      </w:r>
    </w:p>
    <w:p>
      <w:r>
        <w:rPr>
          <w:b/>
          <w:sz w:val="24"/>
        </w:rPr>
        <w:t>1.名称与编号</w:t>
      </w:r>
    </w:p>
    <w:p>
      <w:pPr>
        <w:ind w:firstLine="480"/>
      </w:pPr>
      <w:r>
        <w:rPr/>
        <w:t>采购项目名称：</w:t>
      </w:r>
      <w:r>
        <w:rPr/>
        <w:t>新兴县社区居家养老综合服务示范中心运营（2023-2025年）</w:t>
      </w:r>
    </w:p>
    <w:p>
      <w:pPr>
        <w:ind w:firstLine="480"/>
      </w:pPr>
      <w:r>
        <w:rPr/>
        <w:t>采购计划编号：</w:t>
      </w:r>
      <w:r>
        <w:rPr/>
        <w:t>445321-2023-01138</w:t>
      </w:r>
    </w:p>
    <w:p>
      <w:pPr>
        <w:ind w:firstLine="480"/>
      </w:pPr>
      <w:r>
        <w:rPr/>
        <w:t>采购项目编号：</w:t>
      </w:r>
      <w:r>
        <w:rPr/>
        <w:t>YFZC23FC0115</w:t>
      </w:r>
    </w:p>
    <w:p>
      <w:pPr>
        <w:ind w:firstLine="480"/>
      </w:pPr>
      <w:r>
        <w:rPr/>
        <w:t>采购方式：</w:t>
      </w:r>
      <w:r>
        <w:rPr/>
        <w:t>竞争性磋商</w:t>
      </w:r>
    </w:p>
    <w:p>
      <w:pPr>
        <w:ind w:firstLine="480"/>
      </w:pPr>
      <w:r>
        <w:rPr/>
        <w:t>预算金额：</w:t>
      </w:r>
      <w:r>
        <w:rPr/>
        <w:t>1,057,840.00</w:t>
      </w:r>
      <w:r>
        <w:rPr/>
        <w:t>元</w:t>
      </w:r>
    </w:p>
    <w:p>
      <w:r>
        <w:rPr>
          <w:b/>
          <w:sz w:val="24"/>
        </w:rPr>
        <w:t>2.项目内容及需求情况（采购项目技术规格、参数及要求）</w:t>
      </w:r>
    </w:p>
    <w:p>
      <w:pPr>
        <w:ind w:firstLine="480"/>
      </w:pPr>
    </w:p>
    <w:p/>
    <w:p>
      <w:r>
        <w:rPr/>
        <w:t>采购包1(新兴县社区居家养老综合服务示范中心运营（2023-2025年）):</w:t>
      </w:r>
    </w:p>
    <w:p>
      <w:r>
        <w:rPr/>
        <w:t>采购包预算金额：1,057,840.00元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养老服务</w:t>
            </w:r>
          </w:p>
        </w:tc>
        <w:tc>
          <w:tcPr>
            <w:tcW w:type="dxa" w:w="2052"/>
          </w:tcPr>
          <w:p>
            <w:r>
              <w:rPr/>
              <w:t>新兴县社区居家养老综合服务示范中心运营（2023-2025年）</w:t>
            </w:r>
          </w:p>
        </w:tc>
        <w:tc>
          <w:tcPr>
            <w:tcW w:type="dxa" w:w="977"/>
          </w:tcPr>
          <w:p>
            <w:r>
              <w:rPr/>
              <w:t>1.00(项)</w:t>
            </w:r>
          </w:p>
        </w:tc>
        <w:tc>
          <w:tcPr>
            <w:tcW w:type="dxa" w:w="977"/>
          </w:tcPr>
          <w:p>
            <w:r>
              <w:rPr/>
              <w:t>详见第二章</w:t>
            </w:r>
          </w:p>
        </w:tc>
        <w:tc>
          <w:tcPr>
            <w:tcW w:type="dxa" w:w="977"/>
          </w:tcPr>
          <w:p>
            <w:r>
              <w:rPr/>
              <w:t>1,057,840.00</w:t>
            </w:r>
          </w:p>
        </w:tc>
        <w:tc>
          <w:tcPr>
            <w:tcW w:type="dxa" w:w="977"/>
          </w:tcPr>
          <w:p>
            <w:r>
              <w:rPr/>
              <w:t>否</w:t>
            </w:r>
          </w:p>
        </w:tc>
      </w:tr>
    </w:tbl>
    <w:p/>
    <w:p>
      <w:r>
        <w:rPr/>
        <w:t>本采购包不接受联合体响应</w:t>
      </w:r>
    </w:p>
    <w:p/>
    <w:p>
      <w:r>
        <w:rPr/>
        <w:t>合同履行期限：2023年09月01日起至2025年08月31日止</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1）具有独立承担民事责任的能力：提供法人或者其他组织的营业执照等证明文件复印件；如供应商是自然人，提供自然人的身份证明复印件。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采购包1（新兴县社区居家养老综合服务示范中心运营（2023-2025年））：</w:t>
      </w:r>
      <w:r>
        <w:rPr/>
        <w:t>本项目不属于专门面向中小企业预留采购份额的项目。</w:t>
      </w:r>
    </w:p>
    <w:p/>
    <w:p>
      <w:r>
        <w:rPr>
          <w:b/>
          <w:sz w:val="24"/>
        </w:rPr>
        <w:t>3.本项目特定的资格要求：</w:t>
      </w:r>
    </w:p>
    <w:p>
      <w:pPr>
        <w:ind w:firstLine="480"/>
      </w:pPr>
    </w:p>
    <w:p/>
    <w:p>
      <w:r>
        <w:rPr/>
        <w:t>采购包1（新兴县社区居家养老综合服务示范中心运营（2023-2025年））：</w:t>
      </w:r>
    </w:p>
    <w:p/>
    <w:p>
      <w:r>
        <w:rPr/>
        <w:t>1)（1）供应商须具备法律、行政法规规定的其他条件：在响应文件中提供声明函。 （2）供应商须是在中华人民共和国境内注册的具备独立承担民事责任能力的法人、其它组织或者自然人。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新兴县民政局</w:t>
      </w:r>
    </w:p>
    <w:p>
      <w:pPr>
        <w:ind w:firstLine="480"/>
      </w:pPr>
      <w:r>
        <w:rPr/>
        <w:t>地址：</w:t>
      </w:r>
      <w:r>
        <w:rPr/>
        <w:t>广东省云浮市新兴县城黄塘路10号</w:t>
      </w:r>
    </w:p>
    <w:p>
      <w:pPr>
        <w:ind w:firstLine="480"/>
      </w:pPr>
      <w:r>
        <w:rPr/>
        <w:t>联系方式：</w:t>
      </w:r>
      <w:r>
        <w:rPr/>
        <w:t>李先生 0766-2882787</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简先生 0766-2922133</w:t>
      </w:r>
    </w:p>
    <w:p>
      <w:r>
        <w:rPr>
          <w:b/>
          <w:sz w:val="24"/>
        </w:rPr>
        <w:t>3.项目联系方式</w:t>
      </w:r>
    </w:p>
    <w:p>
      <w:pPr>
        <w:ind w:firstLine="480"/>
      </w:pPr>
      <w:r>
        <w:rPr/>
        <w:t>项目联系人：</w:t>
      </w:r>
      <w:r>
        <w:rPr/>
        <w:t>简先生</w:t>
      </w:r>
    </w:p>
    <w:p>
      <w:pPr>
        <w:ind w:firstLine="480"/>
      </w:pPr>
      <w:r>
        <w:rPr/>
        <w:t>电话：</w:t>
      </w:r>
      <w:r>
        <w:rPr/>
        <w:t>简先生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sz w:val="21"/>
        </w:rPr>
        <w:t xml:space="preserve"> 为深入贯彻总书记对民政工作作出的重要指示精神，根据云浮市委全面深化改革委员会《关于印发</w:t>
      </w:r>
      <w:r>
        <w:rPr>
          <w:sz w:val="21"/>
        </w:rPr>
        <w:t>&lt;云浮市深化改革加快推进社区居家养老服务的实施方案&gt;的通知》要求，不断满足新兴县老年人就近就便、多层次、多样化的社区居家养老服务需求，提高老年人生活质量，计划实施本项目。</w:t>
      </w:r>
    </w:p>
    <w:p/>
    <w:p>
      <w:pPr>
        <w:ind w:firstLine="480"/>
      </w:pPr>
    </w:p>
    <w:p/>
    <w:p>
      <w:r>
        <w:rPr/>
        <w:t>采购包1（新兴县社区居家养老综合服务示范中心运营（2023-2025年））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★2023年09月01日起至2025年08月31日止</w:t>
            </w:r>
          </w:p>
        </w:tc>
      </w:tr>
      <w:tr>
        <w:tc>
          <w:tcPr>
            <w:tcW w:type="dxa" w:w="4153"/>
          </w:tcPr>
          <w:p>
            <w:r>
              <w:rPr/>
              <w:t>标的提供的地点</w:t>
            </w:r>
          </w:p>
        </w:tc>
        <w:tc>
          <w:tcPr>
            <w:tcW w:type="dxa" w:w="4153"/>
          </w:tcPr>
          <w:p/>
          <w:p>
            <w:r>
              <w:rPr/>
              <w:t>新兴县</w:t>
            </w:r>
          </w:p>
        </w:tc>
      </w:tr>
      <w:tr>
        <w:tc>
          <w:tcPr>
            <w:tcW w:type="dxa" w:w="4153"/>
          </w:tcPr>
          <w:p>
            <w:r>
              <w:rPr/>
              <w:t>付款方式</w:t>
            </w:r>
          </w:p>
        </w:tc>
        <w:tc>
          <w:tcPr>
            <w:tcW w:type="dxa" w:w="4153"/>
          </w:tcPr>
          <w:p/>
          <w:p/>
          <w:p>
            <w:r>
              <w:rPr/>
              <w:t>1期：支付比例100%,★由采购人按下列程序付款：采购人按月向成交供应商支付项目运营经费（每月应得运营经费＝成交金额÷24个月），成交供应商须于每月10日前向采购人提交当月的费用申请和等额的正式发票，采购人收到费用申请和发票后，于每月25日前支付当月的运营经费给成交供应商。</w:t>
            </w:r>
          </w:p>
        </w:tc>
      </w:tr>
      <w:tr>
        <w:tc>
          <w:tcPr>
            <w:tcW w:type="dxa" w:w="4153"/>
          </w:tcPr>
          <w:p>
            <w:r>
              <w:rPr/>
              <w:t>验收要求</w:t>
            </w:r>
          </w:p>
        </w:tc>
        <w:tc>
          <w:tcPr>
            <w:tcW w:type="dxa" w:w="4153"/>
          </w:tcPr>
          <w:p/>
          <w:p/>
          <w:p/>
          <w:p>
            <w:r>
              <w:rPr/>
              <w:t>1期：采购人每年组织对新兴县社区居家养老综合服务示范中心的管理、财务收支、缴费情况、工作人员待遇、服务质量、公众评议等内容进行评估。评估不合格的，责令成交供应商整改，整改不合格的，解除合同。</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★付款方式（补充），（1）成交供应商凭以下有效文件向采购人申请支付： 1）合同； 2）成交供应商开具有效的正式发票； 3）成交通知书； 4）采购人要求的其他相关付款资料。 （2）付款方式：采用银行转账等形式。 （3）采购人延迟支付政府采购供应商款项的，按照每日利率万分之五向成交供应商支付逾期利息。</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（1）供应商的报价须以人民币元为单位（小数点后可保留两位小数），所报的价格不得高于项目预算。 （2）供应商的报价为含税全包价，报价必须包括人员工资及福利（五险一金）、服务经费、行政办公费、各项税费等完成合同规定责任和义务、达到合同目的的一切费用。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养老服务</w:t>
            </w:r>
          </w:p>
        </w:tc>
        <w:tc>
          <w:tcPr>
            <w:tcW w:type="dxa" w:w="933"/>
          </w:tcPr>
          <w:p>
            <w:pPr>
              <w:jc w:val="left"/>
            </w:pPr>
            <w:r>
              <w:rPr/>
              <w:t>新兴县社区居家养老综合服务示范中心运营（2023-2025年）</w:t>
            </w:r>
          </w:p>
        </w:tc>
        <w:tc>
          <w:tcPr>
            <w:tcW w:type="dxa" w:w="933"/>
          </w:tcPr>
          <w:p>
            <w:pPr>
              <w:jc w:val="left"/>
            </w:pPr>
            <w:r>
              <w:rPr/>
              <w:t>项</w:t>
            </w:r>
          </w:p>
        </w:tc>
        <w:tc>
          <w:tcPr>
            <w:tcW w:type="dxa" w:w="933"/>
          </w:tcPr>
          <w:p>
            <w:pPr>
              <w:jc w:val="right"/>
            </w:pPr>
            <w:r>
              <w:rPr/>
              <w:t>1.00</w:t>
            </w:r>
          </w:p>
        </w:tc>
        <w:tc>
          <w:tcPr>
            <w:tcW w:type="dxa" w:w="933"/>
          </w:tcPr>
          <w:p>
            <w:pPr>
              <w:jc w:val="right"/>
            </w:pPr>
            <w:r>
              <w:rPr/>
              <w:t>1,057,840.00</w:t>
            </w:r>
          </w:p>
        </w:tc>
        <w:tc>
          <w:tcPr>
            <w:tcW w:type="dxa" w:w="933"/>
          </w:tcPr>
          <w:p>
            <w:pPr>
              <w:jc w:val="right"/>
            </w:pPr>
            <w:r>
              <w:rPr/>
              <w:t>1,057,840.00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新兴县社区居家养老综合服务示范中心运营（2023-2025年）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b/>
                <w:sz w:val="22"/>
              </w:rPr>
              <w:t>（</w:t>
            </w:r>
            <w:r>
              <w:rPr>
                <w:b/>
                <w:sz w:val="22"/>
              </w:rPr>
              <w:t>1</w:t>
            </w:r>
            <w:r>
              <w:rPr>
                <w:b/>
                <w:sz w:val="22"/>
              </w:rPr>
              <w:t>）服务对象</w:t>
            </w:r>
          </w:p>
          <w:p>
            <w:r>
              <w:rPr>
                <w:sz w:val="21"/>
              </w:rPr>
              <w:t>1）新兴县社区居家养老综合服务示范中心运营覆盖周边17个社区/村委（服务范围：城中社区、城西社区、城南社区、侍郎社区、锦水社区、北街社区、塘背社区、司背社区、大地社区、仓夏社区、沙亭社区、茅园社区、南外社区、凤凰村、黄塘村、陇塘村、平康村）年满60周岁的老年人。</w:t>
            </w:r>
          </w:p>
          <w:p>
            <w:r>
              <w:rPr>
                <w:sz w:val="21"/>
              </w:rPr>
              <w:t>2）新兴县社区居家养老综合服务示范中心运营覆盖周边17个社区/村委（服务范围同上）分散供养的特困、低保对象、重度残疾人。</w:t>
            </w:r>
          </w:p>
          <w:p>
            <w:r>
              <w:rPr>
                <w:sz w:val="21"/>
              </w:rPr>
              <w:t>3）新兴县各社区居家养老服务中心、农村居家养老服务站。</w:t>
            </w:r>
          </w:p>
        </w:tc>
      </w:tr>
      <w:tr>
        <w:tc>
          <w:tcPr>
            <w:tcW w:type="dxa" w:w="2076"/>
          </w:tcPr>
          <w:p>
            <w:r>
              <w:rPr/>
              <w:t>★</w:t>
            </w:r>
          </w:p>
        </w:tc>
        <w:tc>
          <w:tcPr>
            <w:tcW w:type="dxa" w:w="415"/>
          </w:tcPr>
          <w:p>
            <w:r>
              <w:rPr/>
              <w:t>2</w:t>
            </w:r>
          </w:p>
        </w:tc>
        <w:tc>
          <w:tcPr>
            <w:tcW w:type="dxa" w:w="5814"/>
          </w:tcPr>
          <w:p>
            <w:r>
              <w:rPr>
                <w:b/>
                <w:sz w:val="22"/>
              </w:rPr>
              <w:t>（</w:t>
            </w:r>
            <w:r>
              <w:rPr>
                <w:b/>
                <w:sz w:val="22"/>
              </w:rPr>
              <w:t>2</w:t>
            </w:r>
            <w:r>
              <w:rPr>
                <w:b/>
                <w:sz w:val="22"/>
              </w:rPr>
              <w:t>）服务内容及要求</w:t>
            </w:r>
          </w:p>
          <w:p>
            <w:pPr>
              <w:ind w:firstLine="420"/>
            </w:pPr>
            <w:r>
              <w:rPr>
                <w:sz w:val="21"/>
              </w:rPr>
              <w:t>新兴县社区居家养老综合服务示范中心运营将打造集临托、日托、医疗保健、健康管理、智慧养老、家政养老上门服务、安全援助、老年人照护需求评估、对下指导等综合功能为一体的县级居家和社区养老服务示范机构。</w:t>
            </w:r>
          </w:p>
          <w:p>
            <w:r>
              <w:rPr>
                <w:sz w:val="21"/>
              </w:rPr>
              <w:t>1）为新兴县常住长者尤其失能、半失能、高龄长者群体提供临托、日托、医疗保健、健康管理、居家上门、家庭照护床位、老年人照护需求评估、精准转介、“家政+养老”、智慧养老等多元化专业服务。同时为全县各居家养老服务中心（服务站）提供居家养老服务项目示范和指导服务。</w:t>
            </w:r>
          </w:p>
          <w:p>
            <w:r>
              <w:rPr>
                <w:sz w:val="21"/>
              </w:rPr>
              <w:t>2）发挥全县智慧养老服务的监测、协调功能，为各居家养老服务中心（服务站）的智慧养老提供硬件和软件的技术支持服务。</w:t>
            </w:r>
          </w:p>
          <w:p>
            <w:r>
              <w:rPr>
                <w:sz w:val="21"/>
              </w:rPr>
              <w:t>3）发挥智慧养老信息化系统服务功能，最大限度地满足长者护理服务、健康档案、适老化改造等多方面的智能化管理，满足大数据的管理，通过智慧养老系统对各站点服务进行监管。</w:t>
            </w:r>
          </w:p>
          <w:p>
            <w:r>
              <w:rPr>
                <w:sz w:val="21"/>
              </w:rPr>
              <w:t>4）积极回应“南粤家政”文件精神，协助政府提供全县养老从业人员培训服务，提高养老护理人员职业技能水平。</w:t>
            </w:r>
          </w:p>
          <w:p>
            <w:r>
              <w:rPr>
                <w:sz w:val="21"/>
              </w:rPr>
              <w:t>5）为各镇的居家养老服务中心和社区（村）居家养老服务站建设和运营提供专业指导服务。</w:t>
            </w:r>
          </w:p>
          <w:p>
            <w:r>
              <w:rPr>
                <w:sz w:val="21"/>
              </w:rPr>
              <w:t>6）探索建立巡回养老专业服务，以新兴县社区居家养老综合服务示范中心为服务基地，定期派出专业养老机构的护士、社工、资深护理员等团队为周边长者提供巡回专业支持服务（如健康义诊、健康管理、心理疏导、个案服务、慰问探访、安全援助等），建立“上门巡诊管理长者健康”服务模式。</w:t>
            </w:r>
          </w:p>
          <w:p>
            <w:r>
              <w:rPr>
                <w:sz w:val="21"/>
              </w:rPr>
              <w:t>7）新兴县社区居家养老综合服务示范中心嵌入式养老床位服务，组建专业的护理、医疗团队，为社区失能、半失能的长者提供生活照料、康复护理、心理疏导、精神慰藉等临托和日托服务，实现“养老不离家”的养老氛围，打造“一碗汤”的养老环境。</w:t>
            </w:r>
          </w:p>
          <w:p>
            <w:r>
              <w:rPr>
                <w:sz w:val="21"/>
              </w:rPr>
              <w:t>8）通过县级居家养老服务信息化智慧养老平台，借助“互联网+”打造居家养老服务，通过电话、智能化语言视频设备，提供24小时呼援和紧急上门援助，为老人提供入户式服务以及应急协助解决等服务，实现智能化保障长者的居家安全。</w:t>
            </w:r>
          </w:p>
        </w:tc>
      </w:tr>
      <w:tr>
        <w:tc>
          <w:tcPr>
            <w:tcW w:type="dxa" w:w="2076"/>
          </w:tcPr>
          <w:p/>
        </w:tc>
        <w:tc>
          <w:tcPr>
            <w:tcW w:type="dxa" w:w="415"/>
          </w:tcPr>
          <w:p>
            <w:r>
              <w:rPr/>
              <w:t>3</w:t>
            </w:r>
          </w:p>
        </w:tc>
        <w:tc>
          <w:tcPr>
            <w:tcW w:type="dxa" w:w="5814"/>
          </w:tcPr>
          <w:p>
            <w:r>
              <w:rPr>
                <w:b/>
                <w:sz w:val="22"/>
              </w:rPr>
              <w:t>（</w:t>
            </w:r>
            <w:r>
              <w:rPr>
                <w:b/>
                <w:sz w:val="22"/>
              </w:rPr>
              <w:t>3）具体服务内容</w:t>
            </w:r>
          </w:p>
          <w:tbl>
            <w:tblPr>
              <w:tblBorders>
                <w:top w:val="none" w:color="000000" w:sz="4"/>
                <w:left w:val="none" w:color="000000" w:sz="4"/>
                <w:bottom w:val="none" w:color="000000" w:sz="4"/>
                <w:right w:val="none" w:color="000000" w:sz="4"/>
                <w:insideH w:val="none"/>
                <w:insideV w:val="none"/>
              </w:tblBorders>
            </w:tblPr>
            <w:tblGrid>
              <w:gridCol w:w="319"/>
              <w:gridCol w:w="755"/>
              <w:gridCol w:w="2146"/>
              <w:gridCol w:w="1106"/>
              <w:gridCol w:w="1272"/>
            </w:tblGrid>
            <w:tr>
              <w:tc>
                <w:tcPr>
                  <w:tcW w:type="dxa" w:w="319"/>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755"/>
                  <w:tcBorders>
                    <w:top w:val="single" w:color="000000" w:sz="4"/>
                    <w:left w:val="single" w:color="000000" w:sz="4"/>
                    <w:bottom w:val="single" w:color="000000" w:sz="4"/>
                    <w:right w:val="single" w:color="000000" w:sz="4"/>
                  </w:tcBorders>
                  <w:vAlign w:val="top"/>
                </w:tcPr>
                <w:p>
                  <w:pPr>
                    <w:jc w:val="center"/>
                  </w:pPr>
                  <w:r>
                    <w:rPr>
                      <w:b/>
                      <w:sz w:val="21"/>
                    </w:rPr>
                    <w:t>具体服务项目</w:t>
                  </w:r>
                </w:p>
              </w:tc>
              <w:tc>
                <w:tcPr>
                  <w:tcW w:type="dxa" w:w="2146"/>
                  <w:tcBorders>
                    <w:top w:val="single" w:color="000000" w:sz="4"/>
                    <w:left w:val="single" w:color="000000" w:sz="4"/>
                    <w:bottom w:val="single" w:color="000000" w:sz="4"/>
                    <w:right w:val="single" w:color="000000" w:sz="4"/>
                  </w:tcBorders>
                  <w:vAlign w:val="top"/>
                </w:tcPr>
                <w:p>
                  <w:pPr>
                    <w:jc w:val="center"/>
                  </w:pPr>
                  <w:r>
                    <w:rPr>
                      <w:b/>
                      <w:sz w:val="21"/>
                    </w:rPr>
                    <w:t>服务内容说明</w:t>
                  </w:r>
                </w:p>
              </w:tc>
              <w:tc>
                <w:tcPr>
                  <w:tcW w:type="dxa" w:w="1106"/>
                  <w:tcBorders>
                    <w:top w:val="single" w:color="000000" w:sz="4"/>
                    <w:left w:val="single" w:color="000000" w:sz="4"/>
                    <w:bottom w:val="single" w:color="000000" w:sz="4"/>
                    <w:right w:val="single" w:color="000000" w:sz="4"/>
                  </w:tcBorders>
                  <w:vAlign w:val="top"/>
                </w:tcPr>
                <w:p>
                  <w:pPr>
                    <w:jc w:val="center"/>
                  </w:pPr>
                  <w:r>
                    <w:rPr>
                      <w:b/>
                      <w:sz w:val="21"/>
                    </w:rPr>
                    <w:t>主要服务对象</w:t>
                  </w:r>
                </w:p>
              </w:tc>
              <w:tc>
                <w:tcPr>
                  <w:tcW w:type="dxa" w:w="1272"/>
                  <w:tcBorders>
                    <w:top w:val="single" w:color="000000" w:sz="4"/>
                    <w:left w:val="single" w:color="000000" w:sz="4"/>
                    <w:bottom w:val="single" w:color="000000" w:sz="4"/>
                    <w:right w:val="single" w:color="000000" w:sz="4"/>
                  </w:tcBorders>
                  <w:vAlign w:val="top"/>
                </w:tcPr>
                <w:p>
                  <w:pPr>
                    <w:jc w:val="center"/>
                  </w:pPr>
                  <w:r>
                    <w:rPr>
                      <w:b/>
                      <w:sz w:val="21"/>
                    </w:rPr>
                    <w:t>年度服务人次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55"/>
                  <w:tcBorders>
                    <w:top w:val="none" w:color="000000" w:sz="4"/>
                    <w:left w:val="single" w:color="000000" w:sz="4"/>
                    <w:bottom w:val="single" w:color="000000" w:sz="4"/>
                    <w:right w:val="single" w:color="000000" w:sz="4"/>
                  </w:tcBorders>
                  <w:vAlign w:val="top"/>
                </w:tcPr>
                <w:p>
                  <w:pPr>
                    <w:jc w:val="center"/>
                  </w:pPr>
                  <w:r>
                    <w:rPr>
                      <w:sz w:val="21"/>
                    </w:rPr>
                    <w:t>服务时间</w:t>
                  </w:r>
                </w:p>
              </w:tc>
              <w:tc>
                <w:tcPr>
                  <w:tcW w:type="dxa" w:w="2146"/>
                  <w:tcBorders>
                    <w:top w:val="none" w:color="000000" w:sz="4"/>
                    <w:left w:val="single" w:color="000000" w:sz="4"/>
                    <w:bottom w:val="single" w:color="000000" w:sz="4"/>
                    <w:right w:val="single" w:color="000000" w:sz="4"/>
                  </w:tcBorders>
                  <w:vAlign w:val="top"/>
                </w:tcPr>
                <w:p>
                  <w:pPr>
                    <w:jc w:val="center"/>
                  </w:pPr>
                  <w:r>
                    <w:rPr>
                      <w:sz w:val="21"/>
                    </w:rPr>
                    <w:t>周一至周五（国家节假日除外）</w:t>
                  </w:r>
                </w:p>
                <w:p>
                  <w:pPr>
                    <w:jc w:val="center"/>
                  </w:pPr>
                  <w:r>
                    <w:rPr>
                      <w:sz w:val="21"/>
                    </w:rPr>
                    <w:t>上午：</w:t>
                  </w:r>
                  <w:r>
                    <w:rPr>
                      <w:sz w:val="21"/>
                    </w:rPr>
                    <w:t>08：30-12:00</w:t>
                  </w:r>
                </w:p>
                <w:p>
                  <w:pPr>
                    <w:jc w:val="center"/>
                  </w:pPr>
                  <w:r>
                    <w:rPr>
                      <w:sz w:val="21"/>
                    </w:rPr>
                    <w:t>下午：</w:t>
                  </w:r>
                  <w:r>
                    <w:rPr>
                      <w:sz w:val="21"/>
                    </w:rPr>
                    <w:t>14:00-17:30</w:t>
                  </w:r>
                </w:p>
              </w:tc>
              <w:tc>
                <w:tcPr>
                  <w:tcW w:type="dxa" w:w="1106"/>
                  <w:tcBorders>
                    <w:top w:val="none" w:color="000000" w:sz="4"/>
                    <w:left w:val="single" w:color="000000" w:sz="4"/>
                    <w:bottom w:val="single" w:color="000000" w:sz="4"/>
                    <w:right w:val="single" w:color="000000" w:sz="4"/>
                  </w:tcBorders>
                  <w:vAlign w:val="top"/>
                </w:tcPr>
                <w:p>
                  <w:pPr>
                    <w:jc w:val="center"/>
                  </w:pPr>
                  <w:r>
                    <w:rPr>
                      <w:sz w:val="21"/>
                    </w:rPr>
                    <w:t>所有年满</w:t>
                  </w:r>
                  <w:r>
                    <w:rPr>
                      <w:sz w:val="21"/>
                    </w:rPr>
                    <w:t>60周岁长者</w:t>
                  </w:r>
                </w:p>
              </w:tc>
              <w:tc>
                <w:tcPr>
                  <w:tcW w:type="dxa" w:w="1272"/>
                  <w:tcBorders>
                    <w:top w:val="none" w:color="000000" w:sz="4"/>
                    <w:left w:val="single" w:color="000000" w:sz="4"/>
                    <w:bottom w:val="single" w:color="000000" w:sz="4"/>
                    <w:right w:val="single" w:color="000000" w:sz="4"/>
                  </w:tcBorders>
                  <w:vAlign w:val="top"/>
                </w:tcPr>
                <w:p>
                  <w:pPr>
                    <w:jc w:val="center"/>
                  </w:pPr>
                  <w:r>
                    <w:rPr>
                      <w:sz w:val="21"/>
                    </w:rPr>
                    <w:t>不限</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55"/>
                  <w:tcBorders>
                    <w:top w:val="none" w:color="000000" w:sz="4"/>
                    <w:left w:val="single" w:color="000000" w:sz="4"/>
                    <w:bottom w:val="single" w:color="000000" w:sz="4"/>
                    <w:right w:val="single" w:color="000000" w:sz="4"/>
                  </w:tcBorders>
                  <w:vAlign w:val="top"/>
                </w:tcPr>
                <w:p>
                  <w:pPr>
                    <w:jc w:val="center"/>
                  </w:pPr>
                  <w:r>
                    <w:rPr>
                      <w:sz w:val="21"/>
                    </w:rPr>
                    <w:t>老年人健康养老基础档案</w:t>
                  </w:r>
                </w:p>
              </w:tc>
              <w:tc>
                <w:tcPr>
                  <w:tcW w:type="dxa" w:w="2146"/>
                  <w:tcBorders>
                    <w:top w:val="none" w:color="000000" w:sz="4"/>
                    <w:left w:val="single" w:color="000000" w:sz="4"/>
                    <w:bottom w:val="single" w:color="000000" w:sz="4"/>
                    <w:right w:val="single" w:color="000000" w:sz="4"/>
                  </w:tcBorders>
                  <w:vAlign w:val="top"/>
                </w:tcPr>
                <w:p>
                  <w:pPr>
                    <w:jc w:val="center"/>
                  </w:pPr>
                  <w:r>
                    <w:rPr>
                      <w:sz w:val="21"/>
                    </w:rPr>
                    <w:t>建立</w:t>
                  </w:r>
                  <w:r>
                    <w:rPr>
                      <w:sz w:val="21"/>
                    </w:rPr>
                    <w:t>60岁</w:t>
                  </w:r>
                  <w:r>
                    <w:rPr>
                      <w:sz w:val="21"/>
                    </w:rPr>
                    <w:t>（</w:t>
                  </w:r>
                  <w:r>
                    <w:rPr>
                      <w:sz w:val="21"/>
                    </w:rPr>
                    <w:t>含</w:t>
                  </w:r>
                  <w:r>
                    <w:rPr>
                      <w:sz w:val="21"/>
                    </w:rPr>
                    <w:t>）</w:t>
                  </w:r>
                  <w:r>
                    <w:rPr>
                      <w:sz w:val="21"/>
                    </w:rPr>
                    <w:t>以上老年人健康管理档案，含姓名、年龄、住址、监护人信息、身体状况和服务需求等</w:t>
                  </w:r>
                </w:p>
              </w:tc>
              <w:tc>
                <w:tcPr>
                  <w:tcW w:type="dxa" w:w="1106"/>
                  <w:vMerge w:val="restart"/>
                  <w:tcBorders>
                    <w:top w:val="none" w:color="000000" w:sz="4"/>
                    <w:left w:val="single" w:color="000000" w:sz="4"/>
                    <w:bottom w:val="single" w:color="000000" w:sz="4"/>
                    <w:right w:val="single" w:color="000000" w:sz="4"/>
                  </w:tcBorders>
                  <w:vAlign w:val="top"/>
                </w:tcPr>
                <w:p>
                  <w:pPr>
                    <w:jc w:val="center"/>
                  </w:pPr>
                  <w:r>
                    <w:rPr>
                      <w:sz w:val="21"/>
                    </w:rPr>
                    <w:t>60岁</w:t>
                  </w:r>
                  <w:r>
                    <w:rPr>
                      <w:sz w:val="21"/>
                    </w:rPr>
                    <w:t>（</w:t>
                  </w:r>
                  <w:r>
                    <w:rPr>
                      <w:sz w:val="21"/>
                    </w:rPr>
                    <w:t>含</w:t>
                  </w:r>
                  <w:r>
                    <w:rPr>
                      <w:sz w:val="21"/>
                    </w:rPr>
                    <w:t>）</w:t>
                  </w:r>
                  <w:r>
                    <w:rPr>
                      <w:sz w:val="21"/>
                    </w:rPr>
                    <w:t>以上老年人</w:t>
                  </w:r>
                </w:p>
              </w:tc>
              <w:tc>
                <w:tcPr>
                  <w:tcW w:type="dxa" w:w="1272"/>
                  <w:tcBorders>
                    <w:top w:val="none" w:color="000000" w:sz="4"/>
                    <w:left w:val="single" w:color="000000" w:sz="4"/>
                    <w:bottom w:val="single" w:color="000000" w:sz="4"/>
                    <w:right w:val="single" w:color="000000" w:sz="4"/>
                  </w:tcBorders>
                  <w:vAlign w:val="top"/>
                </w:tcPr>
                <w:p>
                  <w:pPr>
                    <w:jc w:val="center"/>
                  </w:pPr>
                  <w:r>
                    <w:rPr>
                      <w:sz w:val="21"/>
                    </w:rPr>
                    <w:t>共</w:t>
                  </w:r>
                  <w:r>
                    <w:rPr>
                      <w:sz w:val="21"/>
                    </w:rPr>
                    <w:t>1000人次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55"/>
                  <w:vMerge w:val="restart"/>
                  <w:tcBorders>
                    <w:top w:val="none" w:color="000000" w:sz="4"/>
                    <w:left w:val="single" w:color="000000" w:sz="4"/>
                    <w:bottom w:val="single" w:color="000000" w:sz="4"/>
                    <w:right w:val="single" w:color="000000" w:sz="4"/>
                  </w:tcBorders>
                  <w:vAlign w:val="top"/>
                </w:tcPr>
                <w:p>
                  <w:pPr>
                    <w:jc w:val="center"/>
                  </w:pPr>
                  <w:r>
                    <w:rPr>
                      <w:sz w:val="21"/>
                    </w:rPr>
                    <w:t>中心文化娱乐保健活动</w:t>
                  </w:r>
                </w:p>
              </w:tc>
              <w:tc>
                <w:tcPr>
                  <w:tcW w:type="dxa" w:w="2146"/>
                  <w:tcBorders>
                    <w:top w:val="none" w:color="000000" w:sz="4"/>
                    <w:left w:val="single" w:color="000000" w:sz="4"/>
                    <w:bottom w:val="single" w:color="000000" w:sz="4"/>
                    <w:right w:val="single" w:color="000000" w:sz="4"/>
                  </w:tcBorders>
                  <w:vAlign w:val="top"/>
                </w:tcPr>
                <w:p>
                  <w:pPr>
                    <w:jc w:val="center"/>
                  </w:pPr>
                  <w:r>
                    <w:rPr>
                      <w:sz w:val="21"/>
                    </w:rPr>
                    <w:t>集体文娱活动（结合传统节日）</w:t>
                  </w:r>
                </w:p>
              </w:tc>
              <w:tc>
                <w:tcPr>
                  <w:tcW w:type="dxa" w:w="1106"/>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vAlign w:val="top"/>
                </w:tcPr>
                <w:p>
                  <w:pPr>
                    <w:jc w:val="center"/>
                  </w:pPr>
                  <w:r>
                    <w:rPr>
                      <w:sz w:val="21"/>
                    </w:rPr>
                    <w:t>每月</w:t>
                  </w:r>
                  <w:r>
                    <w:rPr>
                      <w:sz w:val="21"/>
                    </w:rPr>
                    <w:t>2次，每次</w:t>
                  </w:r>
                  <w:r>
                    <w:rPr>
                      <w:sz w:val="21"/>
                    </w:rPr>
                    <w:t>不少于</w:t>
                  </w:r>
                  <w:r>
                    <w:rPr>
                      <w:sz w:val="21"/>
                    </w:rPr>
                    <w:t>20人次</w:t>
                  </w:r>
                  <w:r>
                    <w:rPr>
                      <w:sz w:val="21"/>
                    </w:rPr>
                    <w:t>，</w:t>
                  </w:r>
                  <w:r>
                    <w:rPr>
                      <w:sz w:val="21"/>
                    </w:rPr>
                    <w:t>每年不少于</w:t>
                  </w:r>
                  <w:r>
                    <w:rPr>
                      <w:sz w:val="21"/>
                    </w:rPr>
                    <w:t>480人次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55"/>
                  <w:vMerge/>
                  <w:tcBorders>
                    <w:top w:val="none" w:color="000000" w:sz="4"/>
                    <w:left w:val="single" w:color="000000" w:sz="4"/>
                    <w:bottom w:val="single" w:color="000000" w:sz="4"/>
                    <w:right w:val="single" w:color="000000" w:sz="4"/>
                  </w:tcBorders>
                </w:tcPr>
                <w:p/>
              </w:tc>
              <w:tc>
                <w:tcPr>
                  <w:tcW w:type="dxa" w:w="2146"/>
                  <w:tcBorders>
                    <w:top w:val="none" w:color="000000" w:sz="4"/>
                    <w:left w:val="single" w:color="000000" w:sz="4"/>
                    <w:bottom w:val="single" w:color="000000" w:sz="4"/>
                    <w:right w:val="single" w:color="000000" w:sz="4"/>
                  </w:tcBorders>
                  <w:vAlign w:val="top"/>
                </w:tcPr>
                <w:p>
                  <w:pPr>
                    <w:jc w:val="center"/>
                  </w:pPr>
                  <w:r>
                    <w:rPr>
                      <w:sz w:val="21"/>
                    </w:rPr>
                    <w:t>公益讲座（健康防疫、消防安全等）</w:t>
                  </w:r>
                </w:p>
              </w:tc>
              <w:tc>
                <w:tcPr>
                  <w:tcW w:type="dxa" w:w="1106"/>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vAlign w:val="top"/>
                </w:tcPr>
                <w:p>
                  <w:pPr>
                    <w:jc w:val="center"/>
                  </w:pPr>
                  <w:r>
                    <w:rPr>
                      <w:sz w:val="21"/>
                    </w:rPr>
                    <w:t>每季度</w:t>
                  </w:r>
                  <w:r>
                    <w:rPr>
                      <w:sz w:val="21"/>
                    </w:rPr>
                    <w:t>2次，每次</w:t>
                  </w:r>
                  <w:r>
                    <w:rPr>
                      <w:sz w:val="21"/>
                    </w:rPr>
                    <w:t>不少于</w:t>
                  </w:r>
                  <w:r>
                    <w:rPr>
                      <w:sz w:val="21"/>
                    </w:rPr>
                    <w:t>25人，</w:t>
                  </w:r>
                  <w:r>
                    <w:rPr>
                      <w:sz w:val="21"/>
                    </w:rPr>
                    <w:t>每年不少于</w:t>
                  </w:r>
                  <w:r>
                    <w:rPr>
                      <w:sz w:val="21"/>
                    </w:rPr>
                    <w:t>200人次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55"/>
                  <w:vMerge/>
                  <w:tcBorders>
                    <w:top w:val="none" w:color="000000" w:sz="4"/>
                    <w:left w:val="single" w:color="000000" w:sz="4"/>
                    <w:bottom w:val="single" w:color="000000" w:sz="4"/>
                    <w:right w:val="single" w:color="000000" w:sz="4"/>
                  </w:tcBorders>
                </w:tcPr>
                <w:p/>
              </w:tc>
              <w:tc>
                <w:tcPr>
                  <w:tcW w:type="dxa" w:w="2146"/>
                  <w:tcBorders>
                    <w:top w:val="none" w:color="000000" w:sz="4"/>
                    <w:left w:val="single" w:color="000000" w:sz="4"/>
                    <w:bottom w:val="single" w:color="000000" w:sz="4"/>
                    <w:right w:val="single" w:color="000000" w:sz="4"/>
                  </w:tcBorders>
                  <w:vAlign w:val="top"/>
                </w:tcPr>
                <w:p>
                  <w:pPr>
                    <w:jc w:val="center"/>
                  </w:pPr>
                  <w:r>
                    <w:rPr>
                      <w:sz w:val="21"/>
                    </w:rPr>
                    <w:t>生日会</w:t>
                  </w:r>
                </w:p>
              </w:tc>
              <w:tc>
                <w:tcPr>
                  <w:tcW w:type="dxa" w:w="1106"/>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vAlign w:val="top"/>
                </w:tcPr>
                <w:p>
                  <w:pPr>
                    <w:jc w:val="center"/>
                  </w:pPr>
                  <w:r>
                    <w:rPr>
                      <w:sz w:val="21"/>
                    </w:rPr>
                    <w:t>每季度</w:t>
                  </w:r>
                  <w:r>
                    <w:rPr>
                      <w:sz w:val="21"/>
                    </w:rPr>
                    <w:t>1次，每次</w:t>
                  </w:r>
                  <w:r>
                    <w:rPr>
                      <w:sz w:val="21"/>
                    </w:rPr>
                    <w:t>不少于</w:t>
                  </w:r>
                  <w:r>
                    <w:rPr>
                      <w:sz w:val="21"/>
                    </w:rPr>
                    <w:t>20人次，</w:t>
                  </w:r>
                  <w:r>
                    <w:rPr>
                      <w:sz w:val="21"/>
                    </w:rPr>
                    <w:t>每年不少于</w:t>
                  </w:r>
                  <w:r>
                    <w:rPr>
                      <w:sz w:val="21"/>
                    </w:rPr>
                    <w:t>80人次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55"/>
                  <w:vMerge/>
                  <w:tcBorders>
                    <w:top w:val="none" w:color="000000" w:sz="4"/>
                    <w:left w:val="single" w:color="000000" w:sz="4"/>
                    <w:bottom w:val="single" w:color="000000" w:sz="4"/>
                    <w:right w:val="single" w:color="000000" w:sz="4"/>
                  </w:tcBorders>
                </w:tcPr>
                <w:p/>
              </w:tc>
              <w:tc>
                <w:tcPr>
                  <w:tcW w:type="dxa" w:w="2146"/>
                  <w:tcBorders>
                    <w:top w:val="none" w:color="000000" w:sz="4"/>
                    <w:left w:val="single" w:color="000000" w:sz="4"/>
                    <w:bottom w:val="single" w:color="000000" w:sz="4"/>
                    <w:right w:val="single" w:color="000000" w:sz="4"/>
                  </w:tcBorders>
                  <w:vAlign w:val="top"/>
                </w:tcPr>
                <w:p>
                  <w:pPr>
                    <w:jc w:val="center"/>
                  </w:pPr>
                  <w:r>
                    <w:rPr>
                      <w:sz w:val="21"/>
                    </w:rPr>
                    <w:t>康复保健（红外线灯、肩颈推拿、艾灸等）</w:t>
                  </w:r>
                </w:p>
              </w:tc>
              <w:tc>
                <w:tcPr>
                  <w:tcW w:type="dxa" w:w="1106"/>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vAlign w:val="top"/>
                </w:tcPr>
                <w:p>
                  <w:pPr>
                    <w:jc w:val="center"/>
                  </w:pPr>
                  <w:r>
                    <w:rPr>
                      <w:sz w:val="21"/>
                    </w:rPr>
                    <w:t>每月</w:t>
                  </w:r>
                  <w:r>
                    <w:rPr>
                      <w:sz w:val="21"/>
                    </w:rPr>
                    <w:t>1次，每次</w:t>
                  </w:r>
                  <w:r>
                    <w:rPr>
                      <w:sz w:val="21"/>
                    </w:rPr>
                    <w:t>不少于</w:t>
                  </w:r>
                  <w:r>
                    <w:rPr>
                      <w:sz w:val="21"/>
                    </w:rPr>
                    <w:t>30人，</w:t>
                  </w:r>
                  <w:r>
                    <w:rPr>
                      <w:sz w:val="21"/>
                    </w:rPr>
                    <w:t>每年不少于</w:t>
                  </w:r>
                  <w:r>
                    <w:rPr>
                      <w:sz w:val="21"/>
                    </w:rPr>
                    <w:t>360人次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55"/>
                  <w:vMerge/>
                  <w:tcBorders>
                    <w:top w:val="none" w:color="000000" w:sz="4"/>
                    <w:left w:val="single" w:color="000000" w:sz="4"/>
                    <w:bottom w:val="single" w:color="000000" w:sz="4"/>
                    <w:right w:val="single" w:color="000000" w:sz="4"/>
                  </w:tcBorders>
                </w:tcPr>
                <w:p/>
              </w:tc>
              <w:tc>
                <w:tcPr>
                  <w:tcW w:type="dxa" w:w="2146"/>
                  <w:tcBorders>
                    <w:top w:val="none" w:color="000000" w:sz="4"/>
                    <w:left w:val="single" w:color="000000" w:sz="4"/>
                    <w:bottom w:val="single" w:color="000000" w:sz="4"/>
                    <w:right w:val="single" w:color="000000" w:sz="4"/>
                  </w:tcBorders>
                  <w:vAlign w:val="top"/>
                </w:tcPr>
                <w:p>
                  <w:pPr>
                    <w:jc w:val="center"/>
                  </w:pPr>
                  <w:r>
                    <w:rPr>
                      <w:sz w:val="21"/>
                    </w:rPr>
                    <w:t>乐龄棋牌、书法阅读、歌唱舞蹈等活动</w:t>
                  </w:r>
                </w:p>
              </w:tc>
              <w:tc>
                <w:tcPr>
                  <w:tcW w:type="dxa" w:w="1106"/>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vAlign w:val="top"/>
                </w:tcPr>
                <w:p>
                  <w:pPr>
                    <w:jc w:val="center"/>
                  </w:pPr>
                  <w:r>
                    <w:rPr>
                      <w:sz w:val="21"/>
                    </w:rPr>
                    <w:t>每日恒常活动，人次无上限</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55"/>
                  <w:vMerge w:val="restart"/>
                  <w:tcBorders>
                    <w:top w:val="none" w:color="000000" w:sz="4"/>
                    <w:left w:val="single" w:color="000000" w:sz="4"/>
                    <w:bottom w:val="single" w:color="000000" w:sz="4"/>
                    <w:right w:val="single" w:color="000000" w:sz="4"/>
                  </w:tcBorders>
                  <w:vAlign w:val="top"/>
                </w:tcPr>
                <w:p>
                  <w:pPr>
                    <w:jc w:val="center"/>
                  </w:pPr>
                  <w:r>
                    <w:rPr>
                      <w:sz w:val="21"/>
                    </w:rPr>
                    <w:t>定期探访（由社工、养老管理员、助老员、志愿员一起执行）</w:t>
                  </w:r>
                </w:p>
              </w:tc>
              <w:tc>
                <w:tcPr>
                  <w:tcW w:type="dxa" w:w="2146"/>
                  <w:tcBorders>
                    <w:top w:val="none" w:color="000000" w:sz="4"/>
                    <w:left w:val="single" w:color="000000" w:sz="4"/>
                    <w:bottom w:val="single" w:color="000000" w:sz="4"/>
                    <w:right w:val="single" w:color="000000" w:sz="4"/>
                  </w:tcBorders>
                  <w:vAlign w:val="top"/>
                </w:tcPr>
                <w:p>
                  <w:pPr>
                    <w:jc w:val="center"/>
                  </w:pPr>
                  <w:r>
                    <w:rPr>
                      <w:sz w:val="21"/>
                    </w:rPr>
                    <w:t>精神慰藉</w:t>
                  </w:r>
                  <w:r>
                    <w:rPr>
                      <w:sz w:val="21"/>
                    </w:rPr>
                    <w:t>/情感关怀</w:t>
                  </w:r>
                </w:p>
              </w:tc>
              <w:tc>
                <w:tcPr>
                  <w:tcW w:type="dxa" w:w="1106"/>
                  <w:vMerge w:val="restart"/>
                  <w:tcBorders>
                    <w:top w:val="none" w:color="000000" w:sz="4"/>
                    <w:left w:val="single" w:color="000000" w:sz="4"/>
                    <w:bottom w:val="single" w:color="000000" w:sz="4"/>
                    <w:right w:val="single" w:color="000000" w:sz="4"/>
                  </w:tcBorders>
                  <w:vAlign w:val="top"/>
                </w:tcPr>
                <w:p>
                  <w:pPr>
                    <w:jc w:val="center"/>
                  </w:pPr>
                  <w:r>
                    <w:rPr>
                      <w:sz w:val="21"/>
                    </w:rPr>
                    <w:t>60岁</w:t>
                  </w:r>
                  <w:r>
                    <w:rPr>
                      <w:sz w:val="21"/>
                    </w:rPr>
                    <w:t>（</w:t>
                  </w:r>
                  <w:r>
                    <w:rPr>
                      <w:sz w:val="21"/>
                    </w:rPr>
                    <w:t>含</w:t>
                  </w:r>
                  <w:r>
                    <w:rPr>
                      <w:sz w:val="21"/>
                    </w:rPr>
                    <w:t>）</w:t>
                  </w:r>
                  <w:r>
                    <w:rPr>
                      <w:sz w:val="21"/>
                    </w:rPr>
                    <w:t>以上</w:t>
                  </w:r>
                  <w:r>
                    <w:rPr>
                      <w:sz w:val="21"/>
                    </w:rPr>
                    <w:t>失能</w:t>
                  </w:r>
                  <w:r>
                    <w:rPr>
                      <w:sz w:val="21"/>
                    </w:rPr>
                    <w:t>/半失能</w:t>
                  </w:r>
                  <w:r>
                    <w:rPr>
                      <w:sz w:val="21"/>
                    </w:rPr>
                    <w:t>老年人（含特困、低保、安装养老床位人员</w:t>
                  </w:r>
                  <w:r>
                    <w:rPr>
                      <w:sz w:val="21"/>
                    </w:rPr>
                    <w:t>）；</w:t>
                  </w:r>
                  <w:r>
                    <w:rPr>
                      <w:sz w:val="21"/>
                    </w:rPr>
                    <w:t>80岁</w:t>
                  </w:r>
                  <w:r>
                    <w:rPr>
                      <w:sz w:val="21"/>
                    </w:rPr>
                    <w:t>（</w:t>
                  </w:r>
                  <w:r>
                    <w:rPr>
                      <w:sz w:val="21"/>
                    </w:rPr>
                    <w:t>含</w:t>
                  </w:r>
                  <w:r>
                    <w:rPr>
                      <w:sz w:val="21"/>
                    </w:rPr>
                    <w:t>）</w:t>
                  </w:r>
                  <w:r>
                    <w:rPr>
                      <w:sz w:val="21"/>
                    </w:rPr>
                    <w:t>以上老年人</w:t>
                  </w:r>
                  <w:r>
                    <w:rPr>
                      <w:sz w:val="21"/>
                    </w:rPr>
                    <w:t>；</w:t>
                  </w:r>
                  <w:r>
                    <w:rPr>
                      <w:sz w:val="21"/>
                    </w:rPr>
                    <w:t>计划生育特别扶助家庭中的自理老年人</w:t>
                  </w:r>
                </w:p>
              </w:tc>
              <w:tc>
                <w:tcPr>
                  <w:tcW w:type="dxa" w:w="1272"/>
                  <w:vMerge w:val="restart"/>
                  <w:tcBorders>
                    <w:top w:val="none" w:color="000000" w:sz="4"/>
                    <w:left w:val="single" w:color="000000" w:sz="4"/>
                    <w:bottom w:val="single" w:color="000000" w:sz="4"/>
                    <w:right w:val="single" w:color="000000" w:sz="4"/>
                  </w:tcBorders>
                  <w:vAlign w:val="top"/>
                </w:tcPr>
                <w:p>
                  <w:pPr>
                    <w:jc w:val="center"/>
                  </w:pPr>
                  <w:r>
                    <w:rPr>
                      <w:sz w:val="21"/>
                    </w:rPr>
                    <w:t>每月</w:t>
                  </w:r>
                  <w:r>
                    <w:rPr>
                      <w:sz w:val="21"/>
                    </w:rPr>
                    <w:t>3次，每次</w:t>
                  </w:r>
                  <w:r>
                    <w:rPr>
                      <w:sz w:val="21"/>
                    </w:rPr>
                    <w:t>不少于</w:t>
                  </w:r>
                  <w:r>
                    <w:rPr>
                      <w:sz w:val="21"/>
                    </w:rPr>
                    <w:t>30人次，</w:t>
                  </w:r>
                  <w:r>
                    <w:rPr>
                      <w:sz w:val="21"/>
                    </w:rPr>
                    <w:t>每年不少于</w:t>
                  </w:r>
                  <w:r>
                    <w:rPr>
                      <w:sz w:val="21"/>
                    </w:rPr>
                    <w:t>1080人次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55"/>
                  <w:vMerge/>
                  <w:tcBorders>
                    <w:top w:val="none" w:color="000000" w:sz="4"/>
                    <w:left w:val="single" w:color="000000" w:sz="4"/>
                    <w:bottom w:val="single" w:color="000000" w:sz="4"/>
                    <w:right w:val="single" w:color="000000" w:sz="4"/>
                  </w:tcBorders>
                </w:tcPr>
                <w:p/>
              </w:tc>
              <w:tc>
                <w:tcPr>
                  <w:tcW w:type="dxa" w:w="2146"/>
                  <w:tcBorders>
                    <w:top w:val="none" w:color="000000" w:sz="4"/>
                    <w:left w:val="single" w:color="000000" w:sz="4"/>
                    <w:bottom w:val="single" w:color="000000" w:sz="4"/>
                    <w:right w:val="single" w:color="000000" w:sz="4"/>
                  </w:tcBorders>
                  <w:vAlign w:val="top"/>
                </w:tcPr>
                <w:p>
                  <w:pPr>
                    <w:jc w:val="center"/>
                  </w:pPr>
                  <w:r>
                    <w:rPr>
                      <w:sz w:val="21"/>
                    </w:rPr>
                    <w:t>健康管理（测量血糖血压）</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55"/>
                  <w:vMerge/>
                  <w:tcBorders>
                    <w:top w:val="none" w:color="000000" w:sz="4"/>
                    <w:left w:val="single" w:color="000000" w:sz="4"/>
                    <w:bottom w:val="single" w:color="000000" w:sz="4"/>
                    <w:right w:val="single" w:color="000000" w:sz="4"/>
                  </w:tcBorders>
                </w:tcPr>
                <w:p/>
              </w:tc>
              <w:tc>
                <w:tcPr>
                  <w:tcW w:type="dxa" w:w="2146"/>
                  <w:tcBorders>
                    <w:top w:val="none" w:color="000000" w:sz="4"/>
                    <w:left w:val="single" w:color="000000" w:sz="4"/>
                    <w:bottom w:val="single" w:color="000000" w:sz="4"/>
                    <w:right w:val="single" w:color="000000" w:sz="4"/>
                  </w:tcBorders>
                  <w:vAlign w:val="top"/>
                </w:tcPr>
                <w:p>
                  <w:pPr>
                    <w:jc w:val="center"/>
                  </w:pPr>
                  <w:r>
                    <w:rPr>
                      <w:sz w:val="21"/>
                    </w:rPr>
                    <w:t>日常温馨提示</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755"/>
                  <w:vMerge w:val="restart"/>
                  <w:tcBorders>
                    <w:top w:val="none" w:color="000000" w:sz="4"/>
                    <w:left w:val="single" w:color="000000" w:sz="4"/>
                    <w:bottom w:val="single" w:color="000000" w:sz="4"/>
                    <w:right w:val="single" w:color="000000" w:sz="4"/>
                  </w:tcBorders>
                  <w:vAlign w:val="top"/>
                </w:tcPr>
                <w:p>
                  <w:pPr>
                    <w:jc w:val="center"/>
                  </w:pPr>
                  <w:r>
                    <w:rPr>
                      <w:sz w:val="21"/>
                    </w:rPr>
                    <w:t>上门巡回服务（由护士、社工、助老员、志愿者一起执行）</w:t>
                  </w:r>
                </w:p>
              </w:tc>
              <w:tc>
                <w:tcPr>
                  <w:tcW w:type="dxa" w:w="2146"/>
                  <w:tcBorders>
                    <w:top w:val="none" w:color="000000" w:sz="4"/>
                    <w:left w:val="single" w:color="000000" w:sz="4"/>
                    <w:bottom w:val="single" w:color="000000" w:sz="4"/>
                    <w:right w:val="single" w:color="000000" w:sz="4"/>
                  </w:tcBorders>
                  <w:vAlign w:val="top"/>
                </w:tcPr>
                <w:p>
                  <w:pPr>
                    <w:jc w:val="center"/>
                  </w:pPr>
                  <w:r>
                    <w:rPr>
                      <w:sz w:val="21"/>
                    </w:rPr>
                    <w:t>上门生活照料（助洁、助行、助餐、代办代购、义剪等）</w:t>
                  </w:r>
                </w:p>
              </w:tc>
              <w:tc>
                <w:tcPr>
                  <w:tcW w:type="dxa" w:w="1106"/>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vAlign w:val="top"/>
                </w:tcPr>
                <w:p>
                  <w:pPr>
                    <w:jc w:val="center"/>
                  </w:pPr>
                  <w:r>
                    <w:rPr>
                      <w:sz w:val="21"/>
                    </w:rPr>
                    <w:t>每月</w:t>
                  </w:r>
                  <w:r>
                    <w:rPr>
                      <w:sz w:val="21"/>
                    </w:rPr>
                    <w:t>2次，每次</w:t>
                  </w:r>
                  <w:r>
                    <w:rPr>
                      <w:sz w:val="21"/>
                    </w:rPr>
                    <w:t>不少于</w:t>
                  </w:r>
                  <w:r>
                    <w:rPr>
                      <w:sz w:val="21"/>
                    </w:rPr>
                    <w:t>20人次，</w:t>
                  </w:r>
                  <w:r>
                    <w:rPr>
                      <w:sz w:val="21"/>
                    </w:rPr>
                    <w:t>每年不少于</w:t>
                  </w:r>
                  <w:r>
                    <w:rPr>
                      <w:sz w:val="21"/>
                    </w:rPr>
                    <w:t>480人次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755"/>
                  <w:vMerge/>
                  <w:tcBorders>
                    <w:top w:val="none" w:color="000000" w:sz="4"/>
                    <w:left w:val="single" w:color="000000" w:sz="4"/>
                    <w:bottom w:val="single" w:color="000000" w:sz="4"/>
                    <w:right w:val="single" w:color="000000" w:sz="4"/>
                  </w:tcBorders>
                </w:tcPr>
                <w:p/>
              </w:tc>
              <w:tc>
                <w:tcPr>
                  <w:tcW w:type="dxa" w:w="2146"/>
                  <w:tcBorders>
                    <w:top w:val="none" w:color="000000" w:sz="4"/>
                    <w:left w:val="single" w:color="000000" w:sz="4"/>
                    <w:bottom w:val="single" w:color="000000" w:sz="4"/>
                    <w:right w:val="single" w:color="000000" w:sz="4"/>
                  </w:tcBorders>
                  <w:vAlign w:val="top"/>
                </w:tcPr>
                <w:p>
                  <w:pPr>
                    <w:jc w:val="center"/>
                  </w:pPr>
                  <w:r>
                    <w:rPr>
                      <w:sz w:val="21"/>
                    </w:rPr>
                    <w:t>上门安全援助（电子设备、家电、煤气等检查与维护）</w:t>
                  </w:r>
                </w:p>
              </w:tc>
              <w:tc>
                <w:tcPr>
                  <w:tcW w:type="dxa" w:w="1106"/>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vAlign w:val="top"/>
                </w:tcPr>
                <w:p>
                  <w:pPr>
                    <w:jc w:val="center"/>
                  </w:pPr>
                  <w:r>
                    <w:rPr>
                      <w:sz w:val="21"/>
                    </w:rPr>
                    <w:t>每月</w:t>
                  </w:r>
                  <w:r>
                    <w:rPr>
                      <w:sz w:val="21"/>
                    </w:rPr>
                    <w:t>1次，每次</w:t>
                  </w:r>
                  <w:r>
                    <w:rPr>
                      <w:sz w:val="21"/>
                    </w:rPr>
                    <w:t>不少于</w:t>
                  </w:r>
                  <w:r>
                    <w:rPr>
                      <w:sz w:val="21"/>
                    </w:rPr>
                    <w:t>30人次，</w:t>
                  </w:r>
                  <w:r>
                    <w:rPr>
                      <w:sz w:val="21"/>
                    </w:rPr>
                    <w:t>每年不少于</w:t>
                  </w:r>
                  <w:r>
                    <w:rPr>
                      <w:sz w:val="21"/>
                    </w:rPr>
                    <w:t>360人次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755"/>
                  <w:vMerge/>
                  <w:tcBorders>
                    <w:top w:val="none" w:color="000000" w:sz="4"/>
                    <w:left w:val="single" w:color="000000" w:sz="4"/>
                    <w:bottom w:val="single" w:color="000000" w:sz="4"/>
                    <w:right w:val="single" w:color="000000" w:sz="4"/>
                  </w:tcBorders>
                </w:tcPr>
                <w:p/>
              </w:tc>
              <w:tc>
                <w:tcPr>
                  <w:tcW w:type="dxa" w:w="2146"/>
                  <w:tcBorders>
                    <w:top w:val="none" w:color="000000" w:sz="4"/>
                    <w:left w:val="single" w:color="000000" w:sz="4"/>
                    <w:bottom w:val="single" w:color="000000" w:sz="4"/>
                    <w:right w:val="single" w:color="000000" w:sz="4"/>
                  </w:tcBorders>
                  <w:vAlign w:val="top"/>
                </w:tcPr>
                <w:p>
                  <w:pPr>
                    <w:jc w:val="center"/>
                  </w:pPr>
                  <w:r>
                    <w:rPr>
                      <w:sz w:val="21"/>
                    </w:rPr>
                    <w:t>上门健康管理与指导（遵医嘱用药、饮食、保健等指导）</w:t>
                  </w:r>
                </w:p>
              </w:tc>
              <w:tc>
                <w:tcPr>
                  <w:tcW w:type="dxa" w:w="1106"/>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vAlign w:val="top"/>
                </w:tcPr>
                <w:p>
                  <w:pPr>
                    <w:jc w:val="center"/>
                  </w:pPr>
                  <w:r>
                    <w:rPr>
                      <w:sz w:val="21"/>
                    </w:rPr>
                    <w:t>每月</w:t>
                  </w:r>
                  <w:r>
                    <w:rPr>
                      <w:sz w:val="21"/>
                    </w:rPr>
                    <w:t>2次，每次</w:t>
                  </w:r>
                  <w:r>
                    <w:rPr>
                      <w:sz w:val="21"/>
                    </w:rPr>
                    <w:t>不少于</w:t>
                  </w:r>
                  <w:r>
                    <w:rPr>
                      <w:sz w:val="21"/>
                    </w:rPr>
                    <w:t>30人次，</w:t>
                  </w:r>
                  <w:r>
                    <w:rPr>
                      <w:sz w:val="21"/>
                    </w:rPr>
                    <w:t>每年不少于</w:t>
                  </w:r>
                  <w:r>
                    <w:rPr>
                      <w:sz w:val="21"/>
                    </w:rPr>
                    <w:t>720人次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755"/>
                  <w:tcBorders>
                    <w:top w:val="none" w:color="000000" w:sz="4"/>
                    <w:left w:val="single" w:color="000000" w:sz="4"/>
                    <w:bottom w:val="single" w:color="000000" w:sz="4"/>
                    <w:right w:val="single" w:color="000000" w:sz="4"/>
                  </w:tcBorders>
                  <w:vAlign w:val="top"/>
                </w:tcPr>
                <w:p>
                  <w:pPr>
                    <w:jc w:val="center"/>
                  </w:pPr>
                  <w:r>
                    <w:rPr>
                      <w:sz w:val="21"/>
                    </w:rPr>
                    <w:t>互助养老床位服务</w:t>
                  </w:r>
                </w:p>
              </w:tc>
              <w:tc>
                <w:tcPr>
                  <w:tcW w:type="dxa" w:w="2146"/>
                  <w:tcBorders>
                    <w:top w:val="none" w:color="000000" w:sz="4"/>
                    <w:left w:val="single" w:color="000000" w:sz="4"/>
                    <w:bottom w:val="single" w:color="000000" w:sz="4"/>
                    <w:right w:val="single" w:color="000000" w:sz="4"/>
                  </w:tcBorders>
                  <w:vAlign w:val="top"/>
                </w:tcPr>
                <w:p>
                  <w:pPr>
                    <w:jc w:val="center"/>
                  </w:pPr>
                  <w:r>
                    <w:rPr>
                      <w:sz w:val="21"/>
                    </w:rPr>
                    <w:t>智能设备安装服务</w:t>
                  </w:r>
                </w:p>
              </w:tc>
              <w:tc>
                <w:tcPr>
                  <w:tcW w:type="dxa" w:w="1106"/>
                  <w:tcBorders>
                    <w:top w:val="none" w:color="000000" w:sz="4"/>
                    <w:left w:val="single" w:color="000000" w:sz="4"/>
                    <w:bottom w:val="single" w:color="000000" w:sz="4"/>
                    <w:right w:val="single" w:color="000000" w:sz="4"/>
                  </w:tcBorders>
                  <w:vAlign w:val="top"/>
                </w:tcPr>
                <w:p>
                  <w:pPr>
                    <w:jc w:val="center"/>
                  </w:pPr>
                  <w:r>
                    <w:rPr>
                      <w:sz w:val="21"/>
                    </w:rPr>
                    <w:t>特困、低保、优抚、计划生育特别扶助家庭中的半失能、失能及</w:t>
                  </w:r>
                  <w:r>
                    <w:rPr>
                      <w:sz w:val="21"/>
                    </w:rPr>
                    <w:t>80周岁</w:t>
                  </w:r>
                  <w:r>
                    <w:rPr>
                      <w:sz w:val="21"/>
                    </w:rPr>
                    <w:t>（</w:t>
                  </w:r>
                  <w:r>
                    <w:rPr>
                      <w:sz w:val="21"/>
                    </w:rPr>
                    <w:t>含</w:t>
                  </w:r>
                  <w:r>
                    <w:rPr>
                      <w:sz w:val="21"/>
                    </w:rPr>
                    <w:t>）</w:t>
                  </w:r>
                  <w:r>
                    <w:rPr>
                      <w:sz w:val="21"/>
                    </w:rPr>
                    <w:t>以上老年人</w:t>
                  </w:r>
                </w:p>
              </w:tc>
              <w:tc>
                <w:tcPr>
                  <w:tcW w:type="dxa" w:w="1272"/>
                  <w:tcBorders>
                    <w:top w:val="none" w:color="000000" w:sz="4"/>
                    <w:left w:val="single" w:color="000000" w:sz="4"/>
                    <w:bottom w:val="single" w:color="000000" w:sz="4"/>
                    <w:right w:val="single" w:color="000000" w:sz="4"/>
                  </w:tcBorders>
                  <w:vAlign w:val="top"/>
                </w:tcPr>
                <w:p>
                  <w:pPr>
                    <w:jc w:val="center"/>
                  </w:pPr>
                  <w:r>
                    <w:rPr>
                      <w:sz w:val="21"/>
                    </w:rPr>
                    <w:t>由政府购买，</w:t>
                  </w:r>
                  <w:r>
                    <w:rPr>
                      <w:sz w:val="21"/>
                    </w:rPr>
                    <w:t>成交供应商</w:t>
                  </w:r>
                  <w:r>
                    <w:rPr>
                      <w:sz w:val="21"/>
                    </w:rPr>
                    <w:t>负责入户安装并提供</w:t>
                  </w:r>
                  <w:r>
                    <w:rPr>
                      <w:sz w:val="21"/>
                    </w:rPr>
                    <w:t>24小时在线监测和紧急呼援服务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755"/>
                  <w:tcBorders>
                    <w:top w:val="none" w:color="000000" w:sz="4"/>
                    <w:left w:val="single" w:color="000000" w:sz="4"/>
                    <w:bottom w:val="single" w:color="000000" w:sz="4"/>
                    <w:right w:val="single" w:color="000000" w:sz="4"/>
                  </w:tcBorders>
                  <w:vAlign w:val="top"/>
                </w:tcPr>
                <w:p>
                  <w:pPr>
                    <w:jc w:val="center"/>
                  </w:pPr>
                  <w:r>
                    <w:rPr>
                      <w:sz w:val="21"/>
                    </w:rPr>
                    <w:t>托养服务</w:t>
                  </w:r>
                </w:p>
              </w:tc>
              <w:tc>
                <w:tcPr>
                  <w:tcW w:type="dxa" w:w="2146"/>
                  <w:tcBorders>
                    <w:top w:val="none" w:color="000000" w:sz="4"/>
                    <w:left w:val="single" w:color="000000" w:sz="4"/>
                    <w:bottom w:val="single" w:color="000000" w:sz="4"/>
                    <w:right w:val="single" w:color="000000" w:sz="4"/>
                  </w:tcBorders>
                  <w:vAlign w:val="top"/>
                </w:tcPr>
                <w:p>
                  <w:pPr>
                    <w:jc w:val="center"/>
                  </w:pPr>
                  <w:r>
                    <w:rPr>
                      <w:sz w:val="21"/>
                    </w:rPr>
                    <w:t>为特困、低保、高龄独居群体提供日托服务（健康活动、生活照料、午间休息、助餐等服务）</w:t>
                  </w:r>
                </w:p>
              </w:tc>
              <w:tc>
                <w:tcPr>
                  <w:tcW w:type="dxa" w:w="1106"/>
                  <w:tcBorders>
                    <w:top w:val="none" w:color="000000" w:sz="4"/>
                    <w:left w:val="single" w:color="000000" w:sz="4"/>
                    <w:bottom w:val="single" w:color="000000" w:sz="4"/>
                    <w:right w:val="single" w:color="000000" w:sz="4"/>
                  </w:tcBorders>
                  <w:vAlign w:val="top"/>
                </w:tcPr>
                <w:p>
                  <w:pPr>
                    <w:jc w:val="center"/>
                  </w:pPr>
                  <w:r>
                    <w:rPr>
                      <w:sz w:val="21"/>
                    </w:rPr>
                    <w:t>特困、低保、高龄独居长者</w:t>
                  </w:r>
                </w:p>
              </w:tc>
              <w:tc>
                <w:tcPr>
                  <w:tcW w:type="dxa" w:w="1272"/>
                  <w:tcBorders>
                    <w:top w:val="none" w:color="000000" w:sz="4"/>
                    <w:left w:val="single" w:color="000000" w:sz="4"/>
                    <w:bottom w:val="single" w:color="000000" w:sz="4"/>
                    <w:right w:val="single" w:color="000000" w:sz="4"/>
                  </w:tcBorders>
                  <w:vAlign w:val="top"/>
                </w:tcPr>
                <w:p>
                  <w:pPr>
                    <w:jc w:val="center"/>
                  </w:pPr>
                  <w:r>
                    <w:rPr>
                      <w:sz w:val="21"/>
                    </w:rPr>
                    <w:t>按需</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755"/>
                  <w:tcBorders>
                    <w:top w:val="none" w:color="000000" w:sz="4"/>
                    <w:left w:val="single" w:color="000000" w:sz="4"/>
                    <w:bottom w:val="single" w:color="000000" w:sz="4"/>
                    <w:right w:val="single" w:color="000000" w:sz="4"/>
                  </w:tcBorders>
                  <w:vAlign w:val="top"/>
                </w:tcPr>
                <w:p>
                  <w:pPr>
                    <w:jc w:val="center"/>
                  </w:pPr>
                  <w:r>
                    <w:rPr>
                      <w:sz w:val="21"/>
                    </w:rPr>
                    <w:t>巡回宣传活动</w:t>
                  </w:r>
                </w:p>
              </w:tc>
              <w:tc>
                <w:tcPr>
                  <w:tcW w:type="dxa" w:w="2146"/>
                  <w:tcBorders>
                    <w:top w:val="none" w:color="000000" w:sz="4"/>
                    <w:left w:val="single" w:color="000000" w:sz="4"/>
                    <w:bottom w:val="single" w:color="000000" w:sz="4"/>
                    <w:right w:val="single" w:color="000000" w:sz="4"/>
                  </w:tcBorders>
                  <w:vAlign w:val="top"/>
                </w:tcPr>
                <w:p>
                  <w:pPr>
                    <w:jc w:val="center"/>
                  </w:pPr>
                  <w:r>
                    <w:rPr>
                      <w:sz w:val="21"/>
                    </w:rPr>
                    <w:t>到各社区（村）开展居家养老巡回活动，包括健康安全教育宣讲活动、组织互助饭堂活动、其它文娱社工活动等的支持服务</w:t>
                  </w:r>
                </w:p>
              </w:tc>
              <w:tc>
                <w:tcPr>
                  <w:tcW w:type="dxa" w:w="1106"/>
                  <w:tcBorders>
                    <w:top w:val="none" w:color="000000" w:sz="4"/>
                    <w:left w:val="single" w:color="000000" w:sz="4"/>
                    <w:bottom w:val="single" w:color="000000" w:sz="4"/>
                    <w:right w:val="single" w:color="000000" w:sz="4"/>
                  </w:tcBorders>
                  <w:vAlign w:val="top"/>
                </w:tcPr>
                <w:p>
                  <w:pPr>
                    <w:jc w:val="center"/>
                  </w:pPr>
                  <w:r>
                    <w:rPr>
                      <w:sz w:val="21"/>
                    </w:rPr>
                    <w:t>60岁</w:t>
                  </w:r>
                  <w:r>
                    <w:rPr>
                      <w:sz w:val="21"/>
                    </w:rPr>
                    <w:t>（</w:t>
                  </w:r>
                  <w:r>
                    <w:rPr>
                      <w:sz w:val="21"/>
                    </w:rPr>
                    <w:t>含</w:t>
                  </w:r>
                  <w:r>
                    <w:rPr>
                      <w:sz w:val="21"/>
                    </w:rPr>
                    <w:t>）</w:t>
                  </w:r>
                  <w:r>
                    <w:rPr>
                      <w:sz w:val="21"/>
                    </w:rPr>
                    <w:t>以上老年人</w:t>
                  </w:r>
                </w:p>
              </w:tc>
              <w:tc>
                <w:tcPr>
                  <w:tcW w:type="dxa" w:w="1272"/>
                  <w:tcBorders>
                    <w:top w:val="none" w:color="000000" w:sz="4"/>
                    <w:left w:val="single" w:color="000000" w:sz="4"/>
                    <w:bottom w:val="single" w:color="000000" w:sz="4"/>
                    <w:right w:val="single" w:color="000000" w:sz="4"/>
                  </w:tcBorders>
                  <w:vAlign w:val="top"/>
                </w:tcPr>
                <w:p>
                  <w:pPr>
                    <w:jc w:val="center"/>
                  </w:pPr>
                  <w:r>
                    <w:rPr>
                      <w:sz w:val="21"/>
                    </w:rPr>
                    <w:t>每月</w:t>
                  </w:r>
                  <w:r>
                    <w:rPr>
                      <w:sz w:val="21"/>
                    </w:rPr>
                    <w:t>2场，每场活动10人次以上，</w:t>
                  </w:r>
                  <w:r>
                    <w:rPr>
                      <w:sz w:val="21"/>
                    </w:rPr>
                    <w:t>每年</w:t>
                  </w:r>
                  <w:r>
                    <w:rPr>
                      <w:sz w:val="21"/>
                    </w:rPr>
                    <w:t>总人次不少于</w:t>
                  </w:r>
                  <w:r>
                    <w:rPr>
                      <w:sz w:val="21"/>
                    </w:rPr>
                    <w:t>240人次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755"/>
                  <w:tcBorders>
                    <w:top w:val="none" w:color="000000" w:sz="4"/>
                    <w:left w:val="single" w:color="000000" w:sz="4"/>
                    <w:bottom w:val="single" w:color="000000" w:sz="4"/>
                    <w:right w:val="single" w:color="000000" w:sz="4"/>
                  </w:tcBorders>
                  <w:vAlign w:val="top"/>
                </w:tcPr>
                <w:p>
                  <w:pPr>
                    <w:jc w:val="center"/>
                  </w:pPr>
                  <w:r>
                    <w:rPr>
                      <w:sz w:val="21"/>
                    </w:rPr>
                    <w:t>培训指导服务</w:t>
                  </w:r>
                </w:p>
              </w:tc>
              <w:tc>
                <w:tcPr>
                  <w:tcW w:type="dxa" w:w="2146"/>
                  <w:tcBorders>
                    <w:top w:val="none" w:color="000000" w:sz="4"/>
                    <w:left w:val="single" w:color="000000" w:sz="4"/>
                    <w:bottom w:val="single" w:color="000000" w:sz="4"/>
                    <w:right w:val="single" w:color="000000" w:sz="4"/>
                  </w:tcBorders>
                  <w:vAlign w:val="top"/>
                </w:tcPr>
                <w:p>
                  <w:pPr>
                    <w:jc w:val="center"/>
                  </w:pPr>
                  <w:r>
                    <w:rPr>
                      <w:sz w:val="21"/>
                    </w:rPr>
                    <w:t>各个居家养老中心（站）站点人员培训服务</w:t>
                  </w:r>
                </w:p>
              </w:tc>
              <w:tc>
                <w:tcPr>
                  <w:tcW w:type="dxa" w:w="1106"/>
                  <w:tcBorders>
                    <w:top w:val="none" w:color="000000" w:sz="4"/>
                    <w:left w:val="single" w:color="000000" w:sz="4"/>
                    <w:bottom w:val="single" w:color="000000" w:sz="4"/>
                    <w:right w:val="single" w:color="000000" w:sz="4"/>
                  </w:tcBorders>
                  <w:vAlign w:val="top"/>
                </w:tcPr>
                <w:p>
                  <w:pPr>
                    <w:jc w:val="center"/>
                  </w:pPr>
                  <w:r>
                    <w:rPr>
                      <w:sz w:val="21"/>
                    </w:rPr>
                    <w:t>各个站点工作人员</w:t>
                  </w:r>
                </w:p>
              </w:tc>
              <w:tc>
                <w:tcPr>
                  <w:tcW w:type="dxa" w:w="1272"/>
                  <w:tcBorders>
                    <w:top w:val="none" w:color="000000" w:sz="4"/>
                    <w:left w:val="single" w:color="000000" w:sz="4"/>
                    <w:bottom w:val="single" w:color="000000" w:sz="4"/>
                    <w:right w:val="single" w:color="000000" w:sz="4"/>
                  </w:tcBorders>
                  <w:vAlign w:val="top"/>
                </w:tcPr>
                <w:p>
                  <w:pPr>
                    <w:jc w:val="center"/>
                  </w:pPr>
                  <w:r>
                    <w:rPr>
                      <w:sz w:val="21"/>
                    </w:rPr>
                    <w:t>每季度</w:t>
                  </w:r>
                  <w:r>
                    <w:rPr>
                      <w:sz w:val="21"/>
                    </w:rPr>
                    <w:t>1次，每次不少于10个站点</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755"/>
                  <w:vMerge w:val="restart"/>
                  <w:tcBorders>
                    <w:top w:val="none" w:color="000000" w:sz="4"/>
                    <w:left w:val="single" w:color="000000" w:sz="4"/>
                    <w:bottom w:val="single" w:color="000000" w:sz="4"/>
                    <w:right w:val="single" w:color="000000" w:sz="4"/>
                  </w:tcBorders>
                  <w:vAlign w:val="top"/>
                </w:tcPr>
                <w:p>
                  <w:pPr>
                    <w:jc w:val="center"/>
                  </w:pPr>
                  <w:r>
                    <w:rPr>
                      <w:sz w:val="21"/>
                    </w:rPr>
                    <w:t>对下指导服务</w:t>
                  </w:r>
                </w:p>
              </w:tc>
              <w:tc>
                <w:tcPr>
                  <w:tcW w:type="dxa" w:w="2146"/>
                  <w:tcBorders>
                    <w:top w:val="none" w:color="000000" w:sz="4"/>
                    <w:left w:val="single" w:color="000000" w:sz="4"/>
                    <w:bottom w:val="single" w:color="000000" w:sz="4"/>
                    <w:right w:val="single" w:color="000000" w:sz="4"/>
                  </w:tcBorders>
                  <w:vAlign w:val="top"/>
                </w:tcPr>
                <w:p>
                  <w:pPr>
                    <w:jc w:val="center"/>
                  </w:pPr>
                  <w:r>
                    <w:rPr>
                      <w:sz w:val="21"/>
                    </w:rPr>
                    <w:t>包括但不限于项目调研、业务培训、服务抽查、项目巡查、项目评估</w:t>
                  </w:r>
                </w:p>
              </w:tc>
              <w:tc>
                <w:tcPr>
                  <w:tcW w:type="dxa" w:w="1106"/>
                  <w:vMerge w:val="restart"/>
                  <w:tcBorders>
                    <w:top w:val="none" w:color="000000" w:sz="4"/>
                    <w:left w:val="single" w:color="000000" w:sz="4"/>
                    <w:bottom w:val="single" w:color="000000" w:sz="4"/>
                    <w:right w:val="single" w:color="000000" w:sz="4"/>
                  </w:tcBorders>
                  <w:vAlign w:val="top"/>
                </w:tcPr>
                <w:p>
                  <w:pPr>
                    <w:jc w:val="center"/>
                  </w:pPr>
                  <w:r>
                    <w:rPr>
                      <w:sz w:val="21"/>
                    </w:rPr>
                    <w:t>全县各个中心服务站点</w:t>
                  </w:r>
                </w:p>
              </w:tc>
              <w:tc>
                <w:tcPr>
                  <w:tcW w:type="dxa" w:w="1272"/>
                  <w:vMerge w:val="restart"/>
                  <w:tcBorders>
                    <w:top w:val="none" w:color="000000" w:sz="4"/>
                    <w:left w:val="single" w:color="000000" w:sz="4"/>
                    <w:bottom w:val="single" w:color="000000" w:sz="4"/>
                    <w:right w:val="single" w:color="000000" w:sz="4"/>
                  </w:tcBorders>
                  <w:vAlign w:val="top"/>
                </w:tcPr>
                <w:p>
                  <w:pPr>
                    <w:jc w:val="center"/>
                  </w:pPr>
                  <w:r>
                    <w:rPr>
                      <w:sz w:val="21"/>
                    </w:rPr>
                    <w:t>每月</w:t>
                  </w:r>
                  <w:r>
                    <w:rPr>
                      <w:sz w:val="21"/>
                    </w:rPr>
                    <w:t>1次，每次不少于8个站点，</w:t>
                  </w:r>
                  <w:r>
                    <w:rPr>
                      <w:sz w:val="21"/>
                    </w:rPr>
                    <w:t>每年</w:t>
                  </w:r>
                  <w:r>
                    <w:rPr>
                      <w:sz w:val="21"/>
                    </w:rPr>
                    <w:t>不少于</w:t>
                  </w:r>
                  <w:r>
                    <w:rPr>
                      <w:sz w:val="21"/>
                    </w:rPr>
                    <w:t>96场次</w:t>
                  </w:r>
                </w:p>
              </w:tc>
            </w:tr>
            <w:tr>
              <w:tc>
                <w:tcPr>
                  <w:tcW w:type="dxa" w:w="319"/>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755"/>
                  <w:vMerge/>
                  <w:tcBorders>
                    <w:top w:val="none" w:color="000000" w:sz="4"/>
                    <w:left w:val="single" w:color="000000" w:sz="4"/>
                    <w:bottom w:val="single" w:color="000000" w:sz="4"/>
                    <w:right w:val="single" w:color="000000" w:sz="4"/>
                  </w:tcBorders>
                </w:tcPr>
                <w:p/>
              </w:tc>
              <w:tc>
                <w:tcPr>
                  <w:tcW w:type="dxa" w:w="2146"/>
                  <w:tcBorders>
                    <w:top w:val="none" w:color="000000" w:sz="4"/>
                    <w:left w:val="single" w:color="000000" w:sz="4"/>
                    <w:bottom w:val="single" w:color="000000" w:sz="4"/>
                    <w:right w:val="single" w:color="000000" w:sz="4"/>
                  </w:tcBorders>
                  <w:vAlign w:val="top"/>
                </w:tcPr>
                <w:p>
                  <w:pPr>
                    <w:jc w:val="center"/>
                  </w:pPr>
                  <w:r>
                    <w:rPr>
                      <w:sz w:val="21"/>
                    </w:rPr>
                    <w:t>设施建设和运营督导服务</w:t>
                  </w:r>
                </w:p>
              </w:tc>
            </w:tr>
          </w:tbl>
        </w:tc>
      </w:tr>
      <w:tr>
        <w:tc>
          <w:tcPr>
            <w:tcW w:type="dxa" w:w="2076"/>
          </w:tcPr>
          <w:p>
            <w:r>
              <w:rPr/>
              <w:t>★</w:t>
            </w:r>
          </w:p>
        </w:tc>
        <w:tc>
          <w:tcPr>
            <w:tcW w:type="dxa" w:w="415"/>
          </w:tcPr>
          <w:p>
            <w:r>
              <w:rPr/>
              <w:t>4</w:t>
            </w:r>
          </w:p>
        </w:tc>
        <w:tc>
          <w:tcPr>
            <w:tcW w:type="dxa" w:w="5814"/>
          </w:tcPr>
          <w:p>
            <w:r>
              <w:rPr>
                <w:b/>
                <w:sz w:val="22"/>
              </w:rPr>
              <w:t>（</w:t>
            </w:r>
            <w:r>
              <w:rPr>
                <w:b/>
                <w:sz w:val="22"/>
              </w:rPr>
              <w:t>4）运营管理要求</w:t>
            </w:r>
          </w:p>
          <w:p>
            <w:r>
              <w:rPr>
                <w:sz w:val="21"/>
              </w:rPr>
              <w:t>1）成交供应商监督委派的社区居家养老服务工作人员应当遵纪守法、恪守职业道德并强化服务意识。对服务态度恶劣、不按照合同提供服务的人员，成交供应商应依据劳动合同予以处理。</w:t>
            </w:r>
          </w:p>
          <w:p>
            <w:r>
              <w:rPr>
                <w:sz w:val="21"/>
              </w:rPr>
              <w:t>2）成交供应商负责社工及护理人员日常管理、考核，对未达到合同标准的或不通过相关工作考核的服务人员予以教育、改正或调换，并配合采购人对社工和护理人员进行管理、教育、培训、考核等以促进他们的能力不断提升。</w:t>
            </w:r>
          </w:p>
          <w:p>
            <w:r>
              <w:rPr>
                <w:sz w:val="21"/>
              </w:rPr>
              <w:t>3）成交供应商承担服务场所基本运营经费：包括水电、燃气、交通、设备维护、公共服务成本、人力成本等办公必需的支出。</w:t>
            </w:r>
          </w:p>
          <w:p>
            <w:r>
              <w:rPr>
                <w:sz w:val="21"/>
              </w:rPr>
              <w:t>4）成交供应商须为本项目配备服务人员最少为8人，并按照采购人要求为服务对象提供养老服务。</w:t>
            </w:r>
          </w:p>
          <w:p>
            <w:r>
              <w:rPr>
                <w:sz w:val="21"/>
              </w:rPr>
              <w:t>5）为充分保护老年人权益，建立老年人意外伤害保险保障机制，成交供应商应为新兴县社区居家养老综合服务示范中心运营购买公众责任险。</w:t>
            </w:r>
          </w:p>
          <w:p>
            <w:r>
              <w:rPr>
                <w:sz w:val="21"/>
              </w:rPr>
              <w:t>6）成交供应商建立合法的收费机制，收费标准向县级民政部门备案。</w:t>
            </w:r>
          </w:p>
          <w:p>
            <w:r>
              <w:rPr>
                <w:sz w:val="21"/>
              </w:rPr>
              <w:t>7）成交供应商必须严格按照相关财务管理规定使用项目资金，专款专用，并接受采购人及其他政府部门的监管。</w:t>
            </w:r>
          </w:p>
          <w:p>
            <w:r>
              <w:rPr>
                <w:sz w:val="21"/>
              </w:rPr>
              <w:t>8）成交供应商应妥善使用并管理采购人提供的设备设施，应建立使用登记制度并负有妥善管理、维护、更换（如消防器材灭火瓶、消毒面具到期更换等）及修缮（不含自然损耗）的责任。委托期满后，成交供应商应按移交清单向采购人返还等额数量，能正常使用的设备设施。如有损坏，成交供应商应照价赔偿，合理耗损除外。</w:t>
            </w:r>
          </w:p>
          <w:p>
            <w:r>
              <w:rPr>
                <w:sz w:val="21"/>
              </w:rPr>
              <w:t>9）对于有关民政、消防、市场监管等部门到养老床位检查提出整改意见，成交供应商积极配合采购人进行整改。</w:t>
            </w:r>
          </w:p>
          <w:p>
            <w:r>
              <w:rPr>
                <w:sz w:val="21"/>
              </w:rPr>
              <w:t>10）成交供应商须对本项目服务对象的个人相关信息进行保密，未经服务对象或其法定监护人书面许可，不得对外披露，不得以任何形式将资料外泄给第三方或用于其他商业用途，不得在参与本项目工作之外使用这些保密信息。如发现涉密导致严重后果的，采购人可取消合同并按法律追究相应法律责任。</w:t>
            </w:r>
          </w:p>
          <w:p>
            <w:r>
              <w:rPr>
                <w:sz w:val="21"/>
              </w:rPr>
              <w:t>11）成交供应商在本项目终止后不得保留以任何形式存储服务对象的任何信息数据，不得利用该项目之保密信息数据用作其他用途或项目服务。</w:t>
            </w:r>
          </w:p>
          <w:p>
            <w:r>
              <w:rPr>
                <w:sz w:val="21"/>
              </w:rPr>
              <w:t>12）对成交供应商存在违背合同、弄虚作假等行为，情节严重，造成恶劣社会影响的，采购人有权依法进行处罚，按照法律规定或合同约定终止合同执行。</w:t>
            </w:r>
          </w:p>
          <w:p>
            <w:r>
              <w:rPr>
                <w:sz w:val="21"/>
              </w:rPr>
              <w:t>13）本项目合同期内或合同结束，成交供应商暂停或终止服务的，应当配合采购人进行服务交接工作。</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新兴县民政局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采购机构代理服务收费标准：收费标准参照国家计委颁布的（计价格[2002]1980号）“服务招标”收费标准执行，收费金额按差额定率累进法计算。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2023年08月30日下午15：00（注：2023年08月30日下午14：30开始受理纸质响应文件）（北京时间）。2、纸质响应文件送达地点：新兴县新城镇新洲大道南69号（城北商住区东区）第二层201室开标室。3、所有纸质响应文件必须装入密封的信封或封套。纸质响应文件的正本、副本应分别封装，并在每一信封或包装的封面上注明：采购项目名称、采购项目编号、供应商名称、联系人、联系电话、“于××年××月××日××时××分（纸质响应文件递交截止时间）之前不准启封”字样、正本/副本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社区居家养老综合服务示范中心运营（2023-2025年）)：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采购包1（新兴县社区居家养老综合服务示范中心运营（2023-2025年））：</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20%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采购包1（新兴县社区居家养老综合服务示范中心运营（2023-2025年））：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提供法人或者其他组织的营业执照等证明文件复印件；如供应商是自然人，提供自然人的身份证明复印件。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合同包1(新兴县社区居家养老综合服务示范中心运营（2023-2025年）)特定资格要求如下</w:t>
            </w:r>
          </w:p>
        </w:tc>
        <w:tc>
          <w:tcPr>
            <w:tcW w:type="dxa" w:w="4238"/>
          </w:tcPr>
          <w:p>
            <w:r>
              <w:rPr/>
              <w:t>（1）供应商须具备法律、行政法规规定的其他条件：在响应文件中提供声明函。 （2）供应商须是在中华人民共和国境内注册的具备独立承担民事责任能力的法人、其它组织或者自然人。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tc>
      </w:tr>
      <w:tr>
        <w:tc>
          <w:tcPr>
            <w:tcW w:type="dxa" w:w="890"/>
          </w:tcPr>
          <w:p>
            <w:r>
              <w:rPr/>
              <w:t>7</w:t>
            </w:r>
          </w:p>
        </w:tc>
        <w:tc>
          <w:tcPr>
            <w:tcW w:type="dxa" w:w="3178"/>
          </w:tcPr>
          <w:p>
            <w:r>
              <w:rPr/>
              <w:t>落实政府采购政策需满足的资格要求</w:t>
            </w:r>
          </w:p>
        </w:tc>
        <w:tc>
          <w:tcPr>
            <w:tcW w:type="dxa" w:w="4238"/>
          </w:tcPr>
          <w:p>
            <w:r>
              <w:rPr/>
              <w:t>本项目不属于专门面向中小企业预留采购份额的项目。</w:t>
            </w:r>
          </w:p>
        </w:tc>
      </w:tr>
    </w:tbl>
    <w:p/>
    <w:p>
      <w:pPr>
        <w:ind w:firstLine="480"/>
      </w:pPr>
      <w:r>
        <w:rPr/>
        <w:t>表二符合性审查表：</w:t>
      </w:r>
    </w:p>
    <w:p>
      <w:pPr>
        <w:ind w:firstLine="480"/>
      </w:pPr>
    </w:p>
    <w:p/>
    <w:p>
      <w:r>
        <w:rPr/>
        <w:t>采购包1（新兴县社区居家养老综合服务示范中心运营（2023-2025年））：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采购包1(新兴县社区居家养老综合服务示范中心运营（2023-2025年）):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对项目的了解及重难点分析 (6.0分)</w:t>
            </w:r>
            <w:r>
              <w:rPr/>
              <w:t>，（等次分值选择：</w:t>
            </w:r>
            <w:r>
              <w:rPr/>
              <w:t>0.0;</w:t>
            </w:r>
            <w:r>
              <w:rPr/>
              <w:t>2.0;</w:t>
            </w:r>
            <w:r>
              <w:rPr/>
              <w:t>4.0;</w:t>
            </w:r>
            <w:r>
              <w:rPr/>
              <w:t>6.0;</w:t>
            </w:r>
            <w:r>
              <w:rPr/>
              <w:t>）</w:t>
            </w:r>
          </w:p>
        </w:tc>
        <w:tc>
          <w:tcPr>
            <w:tcW w:type="dxa" w:w="5076"/>
          </w:tcPr>
          <w:p>
            <w:pPr>
              <w:jc w:val="left"/>
            </w:pPr>
            <w:r>
              <w:rPr/>
              <w:t>由磋商小组根据供应商对项目的了解及对重难点作出的分析进行评审：对项目的了解全面、深入，对项目实施的重难点分析清晰、准确，得6分；每出现一处相对弱势或瑕疵或欠缺的，扣2分，扣完为止；无提供方案的不得分。</w:t>
            </w:r>
          </w:p>
        </w:tc>
      </w:tr>
      <w:tr>
        <w:tc>
          <w:tcPr>
            <w:tcW w:type="dxa" w:w="922"/>
            <w:gridSpan w:val="2"/>
            <w:vMerge/>
          </w:tcPr>
          <w:p/>
        </w:tc>
        <w:tc>
          <w:tcPr>
            <w:tcW w:type="dxa" w:w="2307"/>
          </w:tcPr>
          <w:p>
            <w:pPr>
              <w:jc w:val="left"/>
            </w:pPr>
            <w:r>
              <w:rPr/>
              <w:t>项目整体规划方案 (12.0分)</w:t>
            </w:r>
            <w:r>
              <w:rPr/>
              <w:t>，（等次分值选择：</w:t>
            </w:r>
            <w:r>
              <w:rPr/>
              <w:t>0.0;</w:t>
            </w:r>
            <w:r>
              <w:rPr/>
              <w:t>3.0;</w:t>
            </w:r>
            <w:r>
              <w:rPr/>
              <w:t>6.0;</w:t>
            </w:r>
            <w:r>
              <w:rPr/>
              <w:t>9.0;</w:t>
            </w:r>
            <w:r>
              <w:rPr/>
              <w:t>12.0;</w:t>
            </w:r>
            <w:r>
              <w:rPr/>
              <w:t>）</w:t>
            </w:r>
          </w:p>
        </w:tc>
        <w:tc>
          <w:tcPr>
            <w:tcW w:type="dxa" w:w="5076"/>
          </w:tcPr>
          <w:p>
            <w:pPr>
              <w:jc w:val="left"/>
            </w:pPr>
            <w:r>
              <w:rPr/>
              <w:t>由磋商小组根据供应商提供的项目整体规划方案（包括但不限于项目运营理念和整体目标、发展规划、专业养老支持、组织架构等）进行评审：方案完善详尽，专业性、可行性高，规划合理，得12分；每出现一处相对弱势或瑕疵或欠缺的，扣3分，扣完为止；无提供方案的不得分。</w:t>
            </w:r>
          </w:p>
        </w:tc>
      </w:tr>
      <w:tr>
        <w:tc>
          <w:tcPr>
            <w:tcW w:type="dxa" w:w="922"/>
            <w:gridSpan w:val="2"/>
            <w:vMerge/>
          </w:tcPr>
          <w:p/>
        </w:tc>
        <w:tc>
          <w:tcPr>
            <w:tcW w:type="dxa" w:w="2307"/>
          </w:tcPr>
          <w:p>
            <w:pPr>
              <w:jc w:val="left"/>
            </w:pPr>
            <w:r>
              <w:rPr/>
              <w:t>具体运营方案及相关管理制度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具体运营方案及相关管理制度（包括但不限于日常管理方案、服务质量要求、各项工作流程、人员岗位职责、安全卫生措施、精神文明建设、运营保障措施、应急预案等）进行评审：服务质量要求高、管理制度及保障措施完善，组织协调能力强，工作方案思路清晰、操作性强，整体方案符合项目需求的，得15分；每出现一处相对弱势或瑕疵或欠缺的，扣3分，扣完为止；无提供方案的不得分。</w:t>
            </w:r>
          </w:p>
        </w:tc>
      </w:tr>
      <w:tr>
        <w:tc>
          <w:tcPr>
            <w:tcW w:type="dxa" w:w="922"/>
            <w:gridSpan w:val="2"/>
            <w:vMerge/>
          </w:tcPr>
          <w:p/>
        </w:tc>
        <w:tc>
          <w:tcPr>
            <w:tcW w:type="dxa" w:w="2307"/>
          </w:tcPr>
          <w:p>
            <w:pPr>
              <w:jc w:val="left"/>
            </w:pPr>
            <w:r>
              <w:rPr/>
              <w:t>资金使用方案 (6.0分)</w:t>
            </w:r>
            <w:r>
              <w:rPr/>
              <w:t>，（等次分值选择：</w:t>
            </w:r>
            <w:r>
              <w:rPr/>
              <w:t>0.0;</w:t>
            </w:r>
            <w:r>
              <w:rPr/>
              <w:t>2.0;</w:t>
            </w:r>
            <w:r>
              <w:rPr/>
              <w:t>4.0;</w:t>
            </w:r>
            <w:r>
              <w:rPr/>
              <w:t>6.0;</w:t>
            </w:r>
            <w:r>
              <w:rPr/>
              <w:t>）</w:t>
            </w:r>
          </w:p>
        </w:tc>
        <w:tc>
          <w:tcPr>
            <w:tcW w:type="dxa" w:w="5076"/>
          </w:tcPr>
          <w:p>
            <w:pPr>
              <w:jc w:val="left"/>
            </w:pPr>
            <w:r>
              <w:rPr/>
              <w:t>由磋商小组根据供应商提供的资金使用方案（包括但不限于资金使用计划、运营成本计划、风险控制等）进行评审：资金使用安排全面，成本计划可控性及可行性高，风险控制措施保障性高，方案整体专业、完善，得6分；每出现一处相对弱势或瑕疵或欠缺的，扣2分，扣完为止；无提供方案的不得分。</w:t>
            </w:r>
          </w:p>
        </w:tc>
      </w:tr>
      <w:tr>
        <w:tc>
          <w:tcPr>
            <w:tcW w:type="dxa" w:w="922"/>
            <w:gridSpan w:val="2"/>
            <w:vMerge/>
          </w:tcPr>
          <w:p/>
        </w:tc>
        <w:tc>
          <w:tcPr>
            <w:tcW w:type="dxa" w:w="2307"/>
          </w:tcPr>
          <w:p>
            <w:pPr>
              <w:jc w:val="left"/>
            </w:pPr>
            <w:r>
              <w:rPr/>
              <w:t>服务团队培训方案 (8.0分)</w:t>
            </w:r>
            <w:r>
              <w:rPr/>
              <w:t>，（等次分值选择：</w:t>
            </w:r>
            <w:r>
              <w:rPr/>
              <w:t>0.0;</w:t>
            </w:r>
            <w:r>
              <w:rPr/>
              <w:t>2.0;</w:t>
            </w:r>
            <w:r>
              <w:rPr/>
              <w:t>4.0;</w:t>
            </w:r>
            <w:r>
              <w:rPr/>
              <w:t>6.0;</w:t>
            </w:r>
            <w:r>
              <w:rPr/>
              <w:t>8.0;</w:t>
            </w:r>
            <w:r>
              <w:rPr/>
              <w:t>）</w:t>
            </w:r>
          </w:p>
        </w:tc>
        <w:tc>
          <w:tcPr>
            <w:tcW w:type="dxa" w:w="5076"/>
          </w:tcPr>
          <w:p>
            <w:pPr>
              <w:jc w:val="left"/>
            </w:pPr>
            <w:r>
              <w:rPr/>
              <w:t>由磋商小组根据供应商提供的服务团队培训方案（包括但不限于培训方法、培训手段、培训内容等）进行评审：培训方法、培训手段科学合理，培训内容全面，培训方案的可行性高，得8分；每出现一处相对弱势或瑕疵或欠缺的，扣2分，扣完为止；无提供方案的不得分。</w:t>
            </w:r>
          </w:p>
        </w:tc>
      </w:tr>
      <w:tr>
        <w:tc>
          <w:tcPr>
            <w:tcW w:type="dxa" w:w="922"/>
            <w:gridSpan w:val="2"/>
            <w:vMerge w:val="restart"/>
          </w:tcPr>
          <w:p>
            <w:pPr>
              <w:jc w:val="center"/>
            </w:pPr>
            <w:r>
              <w:rPr/>
              <w:t>商务部分</w:t>
            </w:r>
          </w:p>
        </w:tc>
        <w:tc>
          <w:tcPr>
            <w:tcW w:type="dxa" w:w="2307"/>
          </w:tcPr>
          <w:p>
            <w:pPr>
              <w:jc w:val="left"/>
            </w:pPr>
            <w:r>
              <w:rPr/>
              <w:t>同类项目业绩 (16.0分)</w:t>
            </w:r>
          </w:p>
        </w:tc>
        <w:tc>
          <w:tcPr>
            <w:tcW w:type="dxa" w:w="5076"/>
          </w:tcPr>
          <w:p>
            <w:pPr>
              <w:jc w:val="left"/>
            </w:pPr>
            <w:r>
              <w:rPr/>
              <w:t>1、供应商自2020年以来（以合同签订时间为准）承接的社区养老服务类项目业绩：每提供1个得1分，本小项最高得8分。 【备注：响应文件中须提供合同关键页复印件，不提供不得分。】 2、供应商提供的上述项目业绩中，有获得满意或优秀的项目评价的：每个项目得1分，本小项最高得8分。 【备注：响应文件中须提供有项目业主（或主管单位）盖章的项目评价文件的复印件，不提供不得分。】</w:t>
            </w:r>
          </w:p>
        </w:tc>
      </w:tr>
      <w:tr>
        <w:tc>
          <w:tcPr>
            <w:tcW w:type="dxa" w:w="922"/>
            <w:gridSpan w:val="2"/>
            <w:vMerge/>
          </w:tcPr>
          <w:p/>
        </w:tc>
        <w:tc>
          <w:tcPr>
            <w:tcW w:type="dxa" w:w="2307"/>
          </w:tcPr>
          <w:p>
            <w:pPr>
              <w:jc w:val="left"/>
            </w:pPr>
            <w:r>
              <w:rPr/>
              <w:t>荣誉表彰 (6.0分)</w:t>
            </w:r>
            <w:r>
              <w:rPr/>
              <w:t>，（等次分值选择：</w:t>
            </w:r>
            <w:r>
              <w:rPr/>
              <w:t>0.0;</w:t>
            </w:r>
            <w:r>
              <w:rPr/>
              <w:t>3.0;</w:t>
            </w:r>
            <w:r>
              <w:rPr/>
              <w:t>6.0;</w:t>
            </w:r>
            <w:r>
              <w:rPr/>
              <w:t>）</w:t>
            </w:r>
          </w:p>
        </w:tc>
        <w:tc>
          <w:tcPr>
            <w:tcW w:type="dxa" w:w="5076"/>
          </w:tcPr>
          <w:p>
            <w:pPr>
              <w:jc w:val="left"/>
            </w:pPr>
            <w:r>
              <w:rPr/>
              <w:t>供应商的工作表现或其承接的项目自2020年以来（以表彰时间为准）获得市级或以上行政管理部门的表彰的：每提供一项表彰得3分，本项最高得6分。 【备注：响应文件中须提供相关证明文件复印件，不提供不得分。】</w:t>
            </w:r>
          </w:p>
        </w:tc>
      </w:tr>
      <w:tr>
        <w:tc>
          <w:tcPr>
            <w:tcW w:type="dxa" w:w="922"/>
            <w:gridSpan w:val="2"/>
            <w:vMerge/>
          </w:tcPr>
          <w:p/>
        </w:tc>
        <w:tc>
          <w:tcPr>
            <w:tcW w:type="dxa" w:w="2307"/>
          </w:tcPr>
          <w:p>
            <w:pPr>
              <w:jc w:val="left"/>
            </w:pPr>
            <w:r>
              <w:rPr/>
              <w:t>拟投入本项目的人员 (18.0分)</w:t>
            </w:r>
          </w:p>
        </w:tc>
        <w:tc>
          <w:tcPr>
            <w:tcW w:type="dxa" w:w="5076"/>
          </w:tcPr>
          <w:p>
            <w:pPr>
              <w:jc w:val="left"/>
            </w:pPr>
            <w:r>
              <w:rPr/>
              <w:t>1、项目负责人（3分）：具有中级社会工作师或以上资格证书的，得1分；同时具有心理咨询师证书的，加2分。 2、康养服务人员（14分）： （1）配备康复理疗师、营养师、经络调理师、保健按摩师的，全部配备得4分，每缺一项扣1分。（提供相应的职业技能证书复印件） （2）配备养老护理员的，每1人得0.5分，最高得5分（提供养老护理员证书复印件）；养老护理员同时具备社会工作师资格证书的：助理级的每1人得0.5分，中级或以上的每1人得1分，最高得5分。 3、财会人员（1分）：具有财会类专业技术资格证书的，得1分。 【备注：响应文件中须提供以上人员相关证书及供应商为其购买的近三个月社保证明文件（社保证明须有社保管理部门盖章）复印件，各项不提供相应证明材料的不计分。】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r>
        <w:rPr>
          <w:b/>
          <w:sz w:val="21"/>
        </w:rPr>
        <w:t>本合同仅为合同的参考文本，合同签订双方应按照磋商文件的要求和响应文件的承诺进行修订。</w:t>
      </w:r>
    </w:p>
    <w:p>
      <w:pPr>
        <w:jc w:val="center"/>
      </w:pPr>
    </w:p>
    <w:p>
      <w:pPr>
        <w:jc w:val="center"/>
      </w:pPr>
    </w:p>
    <w:p>
      <w:pPr>
        <w:jc w:val="center"/>
      </w:pPr>
      <w:r>
        <w:rPr/>
        <w:t xml:space="preserve"> </w:t>
      </w:r>
    </w:p>
    <w:p>
      <w:pPr>
        <w:jc w:val="center"/>
      </w:pPr>
      <w:r>
        <w:rPr/>
        <w:t xml:space="preserve"> </w:t>
      </w:r>
    </w:p>
    <w:p>
      <w:pPr>
        <w:jc w:val="center"/>
      </w:pPr>
      <w:r>
        <w:rPr>
          <w:b/>
          <w:sz w:val="84"/>
        </w:rPr>
        <w:t>政府采购项目</w:t>
      </w:r>
    </w:p>
    <w:p/>
    <w:p/>
    <w:p>
      <w:pPr>
        <w:jc w:val="center"/>
      </w:pPr>
      <w:r>
        <w:rPr/>
        <w:t xml:space="preserve"> </w:t>
      </w:r>
    </w:p>
    <w:p>
      <w:pPr>
        <w:jc w:val="center"/>
      </w:pPr>
      <w:r>
        <w:rPr/>
        <w:t xml:space="preserve"> </w:t>
      </w:r>
    </w:p>
    <w:p>
      <w:pPr>
        <w:jc w:val="center"/>
      </w:pPr>
      <w:r>
        <w:rPr>
          <w:b/>
          <w:sz w:val="52"/>
        </w:rPr>
        <w:t>合</w:t>
      </w:r>
    </w:p>
    <w:p>
      <w:pPr>
        <w:jc w:val="center"/>
      </w:pPr>
    </w:p>
    <w:p>
      <w:pPr>
        <w:jc w:val="center"/>
      </w:pPr>
      <w:r>
        <w:rPr>
          <w:b/>
          <w:sz w:val="52"/>
        </w:rPr>
        <w:t>同</w:t>
      </w:r>
    </w:p>
    <w:p>
      <w:pPr>
        <w:jc w:val="center"/>
      </w:pPr>
    </w:p>
    <w:p>
      <w:pPr>
        <w:jc w:val="center"/>
      </w:pPr>
      <w:r>
        <w:rPr>
          <w:b/>
          <w:sz w:val="52"/>
        </w:rPr>
        <w:t>书</w:t>
      </w:r>
    </w:p>
    <w:p/>
    <w:p>
      <w:pPr>
        <w:jc w:val="both"/>
      </w:pPr>
    </w:p>
    <w:p/>
    <w:p>
      <w:pPr>
        <w:ind w:firstLine="281"/>
      </w:pPr>
      <w:r>
        <w:rPr/>
        <w:t xml:space="preserve"> </w:t>
      </w:r>
    </w:p>
    <w:p>
      <w:pPr>
        <w:ind w:firstLine="281"/>
      </w:pPr>
      <w:r>
        <w:rPr/>
        <w:t xml:space="preserve"> </w:t>
      </w:r>
    </w:p>
    <w:p>
      <w:pPr>
        <w:ind w:firstLine="281"/>
      </w:pPr>
      <w:r>
        <w:rPr>
          <w:b/>
          <w:sz w:val="28"/>
        </w:rPr>
        <w:t>项目名称：</w:t>
      </w:r>
      <w:r>
        <w:rPr>
          <w:b/>
          <w:sz w:val="21"/>
          <w:u w:val="single"/>
        </w:rPr>
        <w:t xml:space="preserve">                          </w:t>
      </w:r>
    </w:p>
    <w:p>
      <w:pPr>
        <w:ind w:firstLine="281"/>
      </w:pPr>
      <w:r>
        <w:rPr>
          <w:b/>
          <w:sz w:val="28"/>
        </w:rPr>
        <w:t>合同编号：</w:t>
      </w:r>
      <w:r>
        <w:rPr>
          <w:b/>
          <w:sz w:val="21"/>
          <w:u w:val="single"/>
        </w:rPr>
        <w:t xml:space="preserve">                          </w:t>
      </w:r>
    </w:p>
    <w:p>
      <w:pPr>
        <w:ind w:firstLine="281"/>
      </w:pPr>
      <w:r>
        <w:rPr>
          <w:b/>
          <w:sz w:val="28"/>
        </w:rPr>
        <w:t>签约地点：</w:t>
      </w:r>
      <w:r>
        <w:rPr>
          <w:b/>
          <w:sz w:val="21"/>
          <w:u w:val="single"/>
        </w:rPr>
        <w:t xml:space="preserve">                          </w:t>
      </w:r>
    </w:p>
    <w:p>
      <w:pPr>
        <w:ind w:firstLine="281"/>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Pr>
        <w:jc w:val="center"/>
      </w:pPr>
    </w:p>
    <w:p/>
    <w:p/>
    <w:p>
      <w:pPr>
        <w:pBdr>
          <w:bottom w:val="single" w:sz="12" w:space="1"/>
        </w:pBdr>
      </w:pPr>
    </w:p>
    <w:p>
      <w:r>
        <w:rPr>
          <w:b/>
          <w:sz w:val="21"/>
        </w:rPr>
        <w:t>甲</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
      <w:pPr>
        <w:ind w:firstLine="420"/>
      </w:pPr>
      <w:r>
        <w:rPr>
          <w:sz w:val="21"/>
        </w:rPr>
        <w:t>根据</w:t>
      </w:r>
      <w:r>
        <w:rPr>
          <w:sz w:val="21"/>
          <w:u w:val="single"/>
        </w:rPr>
        <w:t xml:space="preserve">                          </w:t>
      </w:r>
      <w:r>
        <w:rPr>
          <w:sz w:val="21"/>
        </w:rPr>
        <w:t>项目（</w:t>
      </w:r>
      <w:r>
        <w:rPr>
          <w:sz w:val="21"/>
        </w:rPr>
        <w:t>采购项目编号</w:t>
      </w:r>
      <w:r>
        <w:rPr>
          <w:sz w:val="21"/>
        </w:rPr>
        <w:t>：</w:t>
      </w:r>
      <w:r>
        <w:rPr>
          <w:sz w:val="21"/>
          <w:u w:val="single"/>
        </w:rPr>
        <w:t xml:space="preserve">         </w:t>
      </w:r>
      <w:r>
        <w:rPr>
          <w:sz w:val="21"/>
        </w:rPr>
        <w:t>）的采购结果，按照《中华人民共和国政府采购法》、《</w:t>
      </w:r>
      <w:r>
        <w:rPr>
          <w:sz w:val="21"/>
        </w:rPr>
        <w:t>中华人民共和国</w:t>
      </w:r>
      <w:r>
        <w:rPr>
          <w:sz w:val="21"/>
        </w:rPr>
        <w:t>民法典》的规定，</w:t>
      </w:r>
      <w:r>
        <w:rPr>
          <w:sz w:val="21"/>
        </w:rPr>
        <w:t>经双方协商，</w:t>
      </w:r>
      <w:r>
        <w:rPr>
          <w:sz w:val="21"/>
        </w:rPr>
        <w:t>本着平等互利和诚实信用的原则，</w:t>
      </w:r>
      <w:r>
        <w:rPr>
          <w:sz w:val="21"/>
        </w:rPr>
        <w:t>一致同意签订本合同如下</w:t>
      </w:r>
      <w:r>
        <w:rPr>
          <w:sz w:val="21"/>
        </w:rPr>
        <w:t>。</w:t>
      </w:r>
    </w:p>
    <w:p>
      <w:r>
        <w:rPr>
          <w:b/>
          <w:sz w:val="21"/>
        </w:rPr>
        <w:t>一、</w:t>
      </w:r>
      <w:r>
        <w:rPr>
          <w:b/>
          <w:sz w:val="21"/>
        </w:rPr>
        <w:t>合同金额</w:t>
      </w:r>
    </w:p>
    <w:p>
      <w:pPr>
        <w:ind w:firstLine="420"/>
      </w:pPr>
      <w:r>
        <w:rPr>
          <w:sz w:val="21"/>
        </w:rPr>
        <w:t>合同金额为人民币：</w:t>
      </w:r>
      <w:r>
        <w:rPr>
          <w:sz w:val="21"/>
          <w:u w:val="single"/>
        </w:rPr>
        <w:t xml:space="preserve">                      </w:t>
      </w:r>
      <w:r>
        <w:rPr>
          <w:sz w:val="21"/>
        </w:rPr>
        <w:t>元（</w:t>
      </w:r>
      <w:r>
        <w:rPr>
          <w:sz w:val="21"/>
        </w:rPr>
        <w:t>¥</w:t>
      </w:r>
      <w:r>
        <w:rPr>
          <w:sz w:val="21"/>
          <w:u w:val="single"/>
        </w:rPr>
        <w:t xml:space="preserve">            </w:t>
      </w:r>
      <w:r>
        <w:rPr>
          <w:sz w:val="21"/>
        </w:rPr>
        <w:t>）。</w:t>
      </w:r>
    </w:p>
    <w:p>
      <w:pPr>
        <w:jc w:val="both"/>
      </w:pPr>
      <w:r>
        <w:rPr>
          <w:b/>
          <w:sz w:val="21"/>
        </w:rPr>
        <w:t>二、服务</w:t>
      </w:r>
      <w:r>
        <w:rPr>
          <w:b/>
          <w:sz w:val="21"/>
        </w:rPr>
        <w:t>范围</w:t>
      </w:r>
    </w:p>
    <w:p>
      <w:r>
        <w:rPr>
          <w:sz w:val="21"/>
        </w:rPr>
        <w:t>1、本合同项下的服务指</w:t>
      </w:r>
      <w:r>
        <w:rPr>
          <w:sz w:val="21"/>
          <w:u w:val="single"/>
        </w:rPr>
        <w:t xml:space="preserve">                            </w:t>
      </w:r>
      <w:r>
        <w:rPr>
          <w:sz w:val="21"/>
        </w:rPr>
        <w:t>。</w:t>
      </w:r>
    </w:p>
    <w:p>
      <w:r>
        <w:rPr>
          <w:sz w:val="21"/>
        </w:rPr>
        <w:t>2、</w:t>
      </w:r>
      <w:r>
        <w:rPr>
          <w:sz w:val="21"/>
        </w:rPr>
        <w:t>……</w:t>
      </w:r>
    </w:p>
    <w:p>
      <w:r>
        <w:rPr>
          <w:sz w:val="21"/>
        </w:rPr>
        <w:t>3、</w:t>
      </w:r>
      <w:r>
        <w:rPr>
          <w:sz w:val="21"/>
        </w:rPr>
        <w:t>……</w:t>
      </w:r>
    </w:p>
    <w:p>
      <w:pPr>
        <w:jc w:val="both"/>
      </w:pPr>
      <w:r>
        <w:rPr>
          <w:b/>
          <w:sz w:val="21"/>
        </w:rPr>
        <w:t>三、履行期限、地点和方式</w:t>
      </w:r>
    </w:p>
    <w:p>
      <w:pPr>
        <w:ind w:firstLine="435"/>
      </w:pPr>
      <w:r>
        <w:rPr>
          <w:sz w:val="21"/>
        </w:rPr>
        <w:t>……</w:t>
      </w:r>
    </w:p>
    <w:p>
      <w:pPr>
        <w:jc w:val="both"/>
      </w:pPr>
      <w:r>
        <w:rPr>
          <w:b/>
          <w:sz w:val="21"/>
        </w:rPr>
        <w:t>四、</w:t>
      </w:r>
      <w:r>
        <w:rPr>
          <w:b/>
          <w:sz w:val="21"/>
        </w:rPr>
        <w:t>服务要求</w:t>
      </w:r>
    </w:p>
    <w:p>
      <w:pPr>
        <w:ind w:firstLine="435"/>
      </w:pPr>
      <w:r>
        <w:rPr>
          <w:sz w:val="21"/>
        </w:rPr>
        <w:t>……</w:t>
      </w:r>
    </w:p>
    <w:p>
      <w:pPr>
        <w:jc w:val="both"/>
      </w:pPr>
      <w:r>
        <w:rPr>
          <w:b/>
          <w:sz w:val="21"/>
        </w:rPr>
        <w:t>五、验收要求</w:t>
      </w:r>
    </w:p>
    <w:p>
      <w:pPr>
        <w:ind w:firstLine="435"/>
      </w:pPr>
      <w:r>
        <w:rPr>
          <w:sz w:val="21"/>
        </w:rPr>
        <w:t>……</w:t>
      </w:r>
    </w:p>
    <w:p>
      <w:pPr>
        <w:jc w:val="both"/>
      </w:pPr>
      <w:r>
        <w:rPr>
          <w:b/>
          <w:sz w:val="21"/>
        </w:rPr>
        <w:t>六、付款方式</w:t>
      </w:r>
    </w:p>
    <w:p>
      <w:r>
        <w:rPr>
          <w:sz w:val="21"/>
        </w:rPr>
        <w:t>1、由甲方按下列程序付款：甲方按月向乙方支付项目运营经费（每月应得运营经费＝成交金额÷24个月），乙方须于每月10日前向甲方提交当月的费用申请和等额的正式发票，甲方收到费用申请和发票后，于每月25日前支付当月的运营经费给乙方。</w:t>
      </w:r>
    </w:p>
    <w:p>
      <w:r>
        <w:rPr>
          <w:sz w:val="21"/>
        </w:rPr>
        <w:t>2、</w:t>
      </w:r>
      <w:r>
        <w:rPr>
          <w:sz w:val="21"/>
        </w:rPr>
        <w:t>乙方凭以下有效文件向甲方申请支付：</w:t>
      </w:r>
    </w:p>
    <w:p>
      <w:r>
        <w:rPr>
          <w:sz w:val="21"/>
        </w:rPr>
        <w:t>（</w:t>
      </w:r>
      <w:r>
        <w:rPr>
          <w:sz w:val="21"/>
        </w:rPr>
        <w:t>1）合同；</w:t>
      </w:r>
    </w:p>
    <w:p>
      <w:r>
        <w:rPr>
          <w:sz w:val="21"/>
        </w:rPr>
        <w:t>（</w:t>
      </w:r>
      <w:r>
        <w:rPr>
          <w:sz w:val="21"/>
        </w:rPr>
        <w:t>2）乙方开具有效的正式发票；</w:t>
      </w:r>
    </w:p>
    <w:p>
      <w:r>
        <w:rPr>
          <w:sz w:val="21"/>
        </w:rPr>
        <w:t>（</w:t>
      </w:r>
      <w:r>
        <w:rPr>
          <w:sz w:val="21"/>
        </w:rPr>
        <w:t>3）成交通知书；</w:t>
      </w:r>
    </w:p>
    <w:p>
      <w:r>
        <w:rPr>
          <w:sz w:val="21"/>
        </w:rPr>
        <w:t>（</w:t>
      </w:r>
      <w:r>
        <w:rPr>
          <w:sz w:val="21"/>
        </w:rPr>
        <w:t>4）甲方要求的其他相关付款资料。</w:t>
      </w:r>
    </w:p>
    <w:p>
      <w:r>
        <w:rPr>
          <w:sz w:val="21"/>
        </w:rPr>
        <w:t>3、付款方式：采用银行转账等形式。</w:t>
      </w:r>
    </w:p>
    <w:p>
      <w:r>
        <w:rPr>
          <w:sz w:val="21"/>
        </w:rPr>
        <w:t>4、甲方延迟支付政府采购供应商款项的，按照每日利率万分之五向乙方支付逾期利息。</w:t>
      </w:r>
    </w:p>
    <w:p>
      <w:pPr>
        <w:jc w:val="both"/>
      </w:pPr>
      <w:r>
        <w:rPr>
          <w:b/>
          <w:sz w:val="21"/>
        </w:rPr>
        <w:t>七、其他商务要求（如有）</w:t>
      </w:r>
    </w:p>
    <w:p>
      <w:pPr>
        <w:ind w:firstLine="420"/>
        <w:jc w:val="both"/>
      </w:pPr>
      <w:r>
        <w:rPr>
          <w:sz w:val="21"/>
        </w:rPr>
        <w:t>……</w:t>
      </w:r>
    </w:p>
    <w:p>
      <w:pPr>
        <w:jc w:val="both"/>
      </w:pPr>
      <w:r>
        <w:rPr>
          <w:b/>
          <w:sz w:val="21"/>
        </w:rPr>
        <w:t>八、甲乙双方的权利和义务</w:t>
      </w:r>
    </w:p>
    <w:p>
      <w:r>
        <w:rPr>
          <w:sz w:val="21"/>
        </w:rPr>
        <w:t>1、</w:t>
      </w:r>
      <w:r>
        <w:rPr>
          <w:sz w:val="21"/>
        </w:rPr>
        <w:t>甲方的权利和义务</w:t>
      </w:r>
    </w:p>
    <w:p>
      <w:pPr>
        <w:ind w:firstLine="420"/>
      </w:pPr>
      <w:r>
        <w:rPr>
          <w:sz w:val="21"/>
        </w:rPr>
        <w:t>……</w:t>
      </w:r>
    </w:p>
    <w:p>
      <w:r>
        <w:rPr>
          <w:sz w:val="21"/>
        </w:rPr>
        <w:t>2、</w:t>
      </w:r>
      <w:r>
        <w:rPr>
          <w:sz w:val="21"/>
        </w:rPr>
        <w:t>乙方的权利和义务</w:t>
      </w:r>
    </w:p>
    <w:p>
      <w:pPr>
        <w:ind w:firstLine="420"/>
      </w:pPr>
      <w:r>
        <w:rPr>
          <w:sz w:val="21"/>
        </w:rPr>
        <w:t>……</w:t>
      </w:r>
    </w:p>
    <w:p>
      <w:r>
        <w:rPr>
          <w:b/>
          <w:sz w:val="21"/>
        </w:rPr>
        <w:t>九、违约责任</w:t>
      </w:r>
    </w:p>
    <w:p>
      <w:pPr>
        <w:ind w:firstLine="420"/>
      </w:pPr>
      <w:r>
        <w:rPr>
          <w:sz w:val="21"/>
        </w:rPr>
        <w:t>……</w:t>
      </w:r>
    </w:p>
    <w:p>
      <w:r>
        <w:rPr>
          <w:b/>
          <w:sz w:val="21"/>
        </w:rPr>
        <w:t>十、其他条款（如有需要，甲乙双方可根据实际增加合同条款）</w:t>
      </w:r>
    </w:p>
    <w:p>
      <w:pPr>
        <w:ind w:firstLine="420"/>
      </w:pPr>
      <w:r>
        <w:rPr>
          <w:sz w:val="21"/>
        </w:rPr>
        <w:t>……</w:t>
      </w:r>
    </w:p>
    <w:p>
      <w:r>
        <w:rPr>
          <w:b/>
          <w:sz w:val="21"/>
        </w:rPr>
        <w:t>十一、合同变更</w:t>
      </w:r>
    </w:p>
    <w:p>
      <w:r>
        <w:rPr>
          <w:sz w:val="21"/>
        </w:rPr>
        <w:t>1、乙方根据现场实际情况，发现合同原计划或方案不尽合理，确实需变更原合同约定的，应及时通知甲方，并提出变更理由、修正方案及变更清单，经双方协商并签署有关文件（作为合同附件），并报政府采购监管部门同意后实施。</w:t>
      </w:r>
    </w:p>
    <w:p>
      <w:r>
        <w:rPr>
          <w:sz w:val="21"/>
        </w:rPr>
        <w:t>2、无论是按原合同要求，或是根据现场实际情况作出变更，乙方都不能免除其应承担的责任。</w:t>
      </w:r>
    </w:p>
    <w:p>
      <w:r>
        <w:rPr>
          <w:b/>
          <w:sz w:val="21"/>
        </w:rPr>
        <w:t>十二、合同解除和终止</w:t>
      </w:r>
    </w:p>
    <w:p>
      <w:r>
        <w:rPr>
          <w:sz w:val="21"/>
        </w:rPr>
        <w:t>1、合同自然终止</w:t>
      </w:r>
    </w:p>
    <w:p>
      <w:pPr>
        <w:ind w:firstLine="525"/>
      </w:pPr>
      <w:r>
        <w:rPr>
          <w:sz w:val="21"/>
        </w:rPr>
        <w:t>甲乙双方各自完成合同规定的责任和义务，合同自然终止。</w:t>
      </w:r>
    </w:p>
    <w:p>
      <w:r>
        <w:rPr>
          <w:sz w:val="21"/>
        </w:rPr>
        <w:t>2、违约违规终止合同</w:t>
      </w:r>
    </w:p>
    <w:p>
      <w:r>
        <w:rPr>
          <w:sz w:val="21"/>
        </w:rPr>
        <w:t>（</w:t>
      </w:r>
      <w:r>
        <w:rPr>
          <w:sz w:val="21"/>
        </w:rPr>
        <w:t>1）在甲方对乙方违约违规而采取的任何补救措施不受影响的情况下，甲方可向乙方发出书面的违约通知书，提出终止部分或全部合同。</w:t>
      </w:r>
    </w:p>
    <w:p>
      <w:r>
        <w:rPr>
          <w:sz w:val="21"/>
        </w:rPr>
        <w:t>（</w:t>
      </w:r>
      <w:r>
        <w:rPr>
          <w:sz w:val="21"/>
        </w:rPr>
        <w:t>2）如果乙方未能在合同规定的期限内提供服务。</w:t>
      </w:r>
    </w:p>
    <w:p>
      <w:r>
        <w:rPr>
          <w:sz w:val="21"/>
        </w:rPr>
        <w:t>（</w:t>
      </w:r>
      <w:r>
        <w:rPr>
          <w:sz w:val="21"/>
        </w:rPr>
        <w:t>3）如果乙方未能履行合同规定的其它任何义务。</w:t>
      </w:r>
    </w:p>
    <w:p>
      <w:r>
        <w:rPr>
          <w:sz w:val="21"/>
        </w:rPr>
        <w:t>（</w:t>
      </w:r>
      <w:r>
        <w:rPr>
          <w:sz w:val="21"/>
        </w:rPr>
        <w:t>4）如果甲方认为乙方在本合同的投标竞争和实施过程中有违反有关政府采购的法律、法规，涉嫌用不正当手段影响甲方采购过程，包括谎报或隐瞒事实、损害甲方利益、干扰甲方、评委、采购代理机构的招标、评标等行为。</w:t>
      </w:r>
    </w:p>
    <w:p>
      <w:r>
        <w:rPr>
          <w:sz w:val="21"/>
        </w:rPr>
        <w:t>3、因乙方破产而终止合同</w:t>
      </w:r>
    </w:p>
    <w:p>
      <w:pPr>
        <w:ind w:firstLine="420"/>
      </w:pPr>
      <w:r>
        <w:rPr>
          <w:sz w:val="21"/>
        </w:rPr>
        <w:t>如果乙方破产或无清偿能力，甲方可在任何时候以书面形式通知乙方，提出终止合同而不给乙方补偿。该合同的终止将不损害或影响甲方已经采取或将要采取的任何行动或补救措施的权利。</w:t>
      </w:r>
    </w:p>
    <w:p>
      <w:r>
        <w:rPr>
          <w:b/>
          <w:sz w:val="21"/>
        </w:rPr>
        <w:t>十三、争议的解决</w:t>
      </w:r>
    </w:p>
    <w:p>
      <w:pPr>
        <w:ind w:firstLine="420"/>
      </w:pPr>
      <w:r>
        <w:rPr>
          <w:sz w:val="21"/>
        </w:rPr>
        <w:t>合同执行过程中发生的任何争议，如双方不能通过友好协商解决，按相关法律法规处理。</w:t>
      </w:r>
    </w:p>
    <w:p>
      <w:r>
        <w:rPr>
          <w:b/>
          <w:sz w:val="21"/>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1日内向对方通报，以减轻可能给对方造成的损失，在取得有关机构的不可抗力证明或对方谅解确认后，允许延期履行或修订合同，并根据情况可部分或全部免于承担违约责任。</w:t>
      </w:r>
    </w:p>
    <w:p>
      <w:r>
        <w:rPr>
          <w:b/>
          <w:sz w:val="21"/>
        </w:rPr>
        <w:t>十五、税费</w:t>
      </w:r>
    </w:p>
    <w:p>
      <w:pPr>
        <w:ind w:firstLine="411"/>
      </w:pPr>
      <w:r>
        <w:rPr>
          <w:sz w:val="21"/>
        </w:rPr>
        <w:t>在中国境内、外发生的与本合同执行有关的一切税费均由乙方负担。</w:t>
      </w:r>
    </w:p>
    <w:p>
      <w:r>
        <w:rPr>
          <w:b/>
          <w:sz w:val="21"/>
        </w:rPr>
        <w:t>十六、其它</w:t>
      </w:r>
    </w:p>
    <w:p>
      <w:pPr>
        <w:jc w:val="both"/>
      </w:pPr>
      <w:r>
        <w:rPr>
          <w:sz w:val="21"/>
        </w:rPr>
        <w:t>1、本项目磋商文件、响应文件、成交通知书及本合同所有附件均为合同的有效组成部分，与本合同具有同等法律效力。</w:t>
      </w:r>
    </w:p>
    <w:p>
      <w:pPr>
        <w:jc w:val="both"/>
      </w:pPr>
      <w:r>
        <w:rPr>
          <w:sz w:val="21"/>
        </w:rPr>
        <w:t>2、在执行本合同的过程中，所有经双方签署确认的文件（包括会议纪要、补充协议、往来信函）即成为本合同的有效组成部分。</w:t>
      </w:r>
    </w:p>
    <w:p>
      <w:pPr>
        <w:jc w:val="both"/>
      </w:pPr>
      <w:r>
        <w:rPr>
          <w:sz w:val="21"/>
        </w:rPr>
        <w:t>3、如一方地址、电话、传真号码有变更，应在变更当日内书面通知对方，否则，应承担相应责任。</w:t>
      </w:r>
    </w:p>
    <w:p>
      <w:pPr>
        <w:jc w:val="both"/>
      </w:pPr>
      <w:r>
        <w:rPr>
          <w:sz w:val="21"/>
        </w:rPr>
        <w:t>4、除甲方事先书面同意外，乙方不得部分或全部转让其应履行的合同项下的义务。</w:t>
      </w:r>
    </w:p>
    <w:p>
      <w:r>
        <w:rPr>
          <w:b/>
          <w:sz w:val="21"/>
        </w:rPr>
        <w:t>十七、合同生效</w:t>
      </w:r>
    </w:p>
    <w:p>
      <w:pPr>
        <w:jc w:val="both"/>
      </w:pPr>
      <w:r>
        <w:rPr>
          <w:sz w:val="21"/>
        </w:rPr>
        <w:t>1、本合同在甲乙双方法定代表人或其授权代表签字盖章后生效，合同签署日期以较迟签注的日期为准。</w:t>
      </w:r>
    </w:p>
    <w:p>
      <w:pPr>
        <w:jc w:val="both"/>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1</w:t>
      </w:r>
      <w:r>
        <w:rPr>
          <w:sz w:val="21"/>
        </w:rPr>
        <w:t>份。</w:t>
      </w:r>
    </w:p>
    <w:p>
      <w:pPr>
        <w:jc w:val="both"/>
      </w:pPr>
    </w:p>
    <w:p>
      <w:pPr>
        <w:jc w:val="both"/>
      </w:pPr>
    </w:p>
    <w:p>
      <w:r>
        <w:rPr/>
        <w:t xml:space="preserve"> </w:t>
      </w:r>
    </w:p>
    <w:p>
      <w:r>
        <w:rPr>
          <w:b/>
          <w:sz w:val="21"/>
        </w:rPr>
        <w:t>甲方（盖章）：</w:t>
      </w:r>
      <w:r>
        <w:rPr>
          <w:b/>
          <w:sz w:val="21"/>
        </w:rPr>
        <w:t xml:space="preserve">                  </w:t>
      </w:r>
      <w:r>
        <w:rPr>
          <w:b/>
          <w:sz w:val="21"/>
        </w:rPr>
        <w:t>乙方（盖章）：</w:t>
      </w:r>
    </w:p>
    <w:p>
      <w:r>
        <w:rPr>
          <w:b/>
          <w:sz w:val="21"/>
        </w:rPr>
        <w:t>法定代表人或委托人：</w:t>
      </w:r>
      <w:r>
        <w:rPr>
          <w:b/>
          <w:sz w:val="21"/>
        </w:rPr>
        <w:t xml:space="preserve">                       </w:t>
      </w:r>
      <w:r>
        <w:rPr>
          <w:b/>
          <w:sz w:val="21"/>
        </w:rPr>
        <w:t xml:space="preserve"> </w:t>
      </w:r>
      <w:r>
        <w:rPr>
          <w:b/>
          <w:sz w:val="21"/>
        </w:rPr>
        <w:t>法定代表人或委托人：</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r>
        <w:rPr>
          <w:sz w:val="21"/>
        </w:rPr>
        <w:t xml:space="preserve">                                      开户名称：</w:t>
      </w:r>
    </w:p>
    <w:p>
      <w:r>
        <w:rPr>
          <w:sz w:val="21"/>
        </w:rPr>
        <w:t xml:space="preserve">                                      银行账号：</w:t>
      </w:r>
    </w:p>
    <w:p>
      <w:r>
        <w:rPr>
          <w:sz w:val="21"/>
        </w:rPr>
        <w:t xml:space="preserve">                                      开</w:t>
      </w:r>
      <w:r>
        <w:rPr>
          <w:sz w:val="21"/>
        </w:rPr>
        <w:t>户</w:t>
      </w:r>
      <w:r>
        <w:rPr>
          <w:sz w:val="21"/>
        </w:rPr>
        <w:t>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445321-2023-01138</w:t>
      </w:r>
    </w:p>
    <w:p>
      <w:pPr>
        <w:jc w:val="center"/>
      </w:pPr>
      <w:r>
        <w:rPr>
          <w:b/>
          <w:sz w:val="24"/>
        </w:rPr>
        <w:t>采购项目编号：</w:t>
      </w:r>
      <w:r>
        <w:rPr>
          <w:b/>
          <w:sz w:val="24"/>
        </w:rPr>
        <w:t>YFZC23FC0115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新兴县社区居家养老综合服务示范中心运营（2023-2025年）</w:t>
      </w:r>
      <w:r>
        <w:rPr>
          <w:u w:val="single"/>
        </w:rPr>
        <w:t>”</w:t>
      </w:r>
      <w:r>
        <w:rPr/>
        <w:t>项目的竞争性磋商[采购项目编号为：</w:t>
      </w:r>
      <w:r>
        <w:rPr>
          <w:u w:val="single"/>
        </w:rPr>
        <w:t>YFZC23FC0115</w:t>
      </w:r>
      <w:r>
        <w:rPr/>
        <w:t>]，我方愿参与响应。</w:t>
      </w:r>
    </w:p>
    <w:p>
      <w:pPr>
        <w:ind w:firstLine="480"/>
      </w:pPr>
      <w:r>
        <w:rPr/>
        <w:t>我方确认收到贵方提供的</w:t>
      </w:r>
      <w:r>
        <w:rPr>
          <w:u w:val="single"/>
        </w:rPr>
        <w:t>“</w:t>
      </w:r>
      <w:r>
        <w:rPr>
          <w:u w:val="single"/>
        </w:rPr>
        <w:t>新兴县社区居家养老综合服务示范中心运营（2023-2025年）</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新兴县社区居家养老综合服务示范中心运营（2023-2025年）</w:t>
      </w:r>
      <w:r>
        <w:rPr/>
        <w:t>”项目采购[采购项目编号为</w:t>
      </w:r>
      <w:r>
        <w:rPr/>
        <w:t>YFZC23FC0115</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新兴县民政局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新兴县社区居家养老综合服务示范中心运营（2023-2025年）</w:t>
      </w:r>
      <w:r>
        <w:rPr/>
        <w:t>（采购项目编号：</w:t>
      </w:r>
      <w:r>
        <w:rPr/>
        <w:t>YFZC23FC0115</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新兴县社区居家养老综合服务示范中心运营（2023-2025年）</w:t>
      </w:r>
      <w:r>
        <w:rPr/>
        <w:t>”项目（采购项目编号：</w:t>
      </w:r>
      <w:r>
        <w:rPr/>
        <w:t>YFZC23FC0115</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