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445321-2022-01850</w:t>
      </w:r>
    </w:p>
    <w:p>
      <w:pPr>
        <w:jc w:val="center"/>
      </w:pPr>
      <w:r>
        <w:rPr>
          <w:b/>
          <w:sz w:val="24"/>
        </w:rPr>
        <w:t>采购项目编号：</w:t>
      </w:r>
      <w:r>
        <w:rPr>
          <w:b/>
          <w:sz w:val="24"/>
        </w:rPr>
        <w:t>YFZC22FC0139</w:t>
      </w:r>
    </w:p>
    <w:p>
      <w:pPr>
        <w:jc w:val="center"/>
      </w:pPr>
      <w:r>
        <w:rPr>
          <w:b/>
          <w:sz w:val="24"/>
        </w:rPr>
        <w:t>项目名称：</w:t>
      </w:r>
      <w:r>
        <w:rPr>
          <w:b/>
          <w:sz w:val="24"/>
        </w:rPr>
        <w:t>车岗镇圩镇保洁项目</w:t>
      </w:r>
    </w:p>
    <w:p>
      <w:pPr>
        <w:jc w:val="center"/>
      </w:pPr>
      <w:r>
        <w:rPr>
          <w:b/>
          <w:sz w:val="24"/>
        </w:rPr>
        <w:t>采购人：</w:t>
      </w:r>
      <w:r>
        <w:rPr>
          <w:b/>
          <w:sz w:val="24"/>
        </w:rPr>
        <w:t>新兴县车岗镇人民政府</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 磋商邀请</w:t>
      </w:r>
    </w:p>
    <w:p>
      <w:pPr>
        <w:ind w:firstLine="480"/>
      </w:pPr>
      <w:r>
        <w:rPr/>
        <w:t>云浮市中策招标咨询服务有限公司</w:t>
      </w:r>
      <w:r>
        <w:rPr/>
        <w:t>受</w:t>
      </w:r>
      <w:r>
        <w:rPr/>
        <w:t>新兴县车岗镇人民政府</w:t>
      </w:r>
      <w:r>
        <w:rPr/>
        <w:t>的委托，采用</w:t>
      </w:r>
      <w:r>
        <w:rPr/>
        <w:t>竞争性磋商</w:t>
      </w:r>
      <w:r>
        <w:rPr/>
        <w:t>方式组织采购</w:t>
      </w:r>
      <w:r>
        <w:rPr/>
        <w:t>车岗镇圩镇保洁项目</w:t>
      </w:r>
      <w:r>
        <w:rPr/>
        <w:t>。欢迎符合资格条件的供应商参加。</w:t>
      </w:r>
    </w:p>
    <w:p>
      <w:r>
        <w:rPr>
          <w:b/>
          <w:sz w:val="28"/>
        </w:rPr>
        <w:t>一.项目概述</w:t>
      </w:r>
    </w:p>
    <w:p>
      <w:r>
        <w:rPr>
          <w:b/>
          <w:sz w:val="24"/>
        </w:rPr>
        <w:t>1.名称与编号</w:t>
      </w:r>
    </w:p>
    <w:p>
      <w:pPr>
        <w:ind w:firstLine="480"/>
      </w:pPr>
      <w:r>
        <w:rPr/>
        <w:t>采购项目名称：</w:t>
      </w:r>
      <w:r>
        <w:rPr/>
        <w:t>车岗镇圩镇保洁项目</w:t>
      </w:r>
    </w:p>
    <w:p>
      <w:pPr>
        <w:ind w:firstLine="480"/>
      </w:pPr>
      <w:r>
        <w:rPr/>
        <w:t>采购计划编号：</w:t>
      </w:r>
      <w:r>
        <w:rPr/>
        <w:t>445321-2022-01850</w:t>
      </w:r>
    </w:p>
    <w:p>
      <w:pPr>
        <w:ind w:firstLine="480"/>
      </w:pPr>
      <w:r>
        <w:rPr/>
        <w:t>采购项目编号：</w:t>
      </w:r>
      <w:r>
        <w:rPr/>
        <w:t>YFZC22FC0139</w:t>
      </w:r>
    </w:p>
    <w:p>
      <w:pPr>
        <w:ind w:firstLine="480"/>
      </w:pPr>
      <w:r>
        <w:rPr/>
        <w:t>采购方式：</w:t>
      </w:r>
      <w:r>
        <w:rPr/>
        <w:t>竞争性磋商</w:t>
      </w:r>
    </w:p>
    <w:p>
      <w:pPr>
        <w:ind w:firstLine="480"/>
      </w:pPr>
      <w:r>
        <w:rPr/>
        <w:t>预算金额：</w:t>
      </w:r>
      <w:r>
        <w:rPr/>
        <w:t>1,584,000.00</w:t>
      </w:r>
      <w:r>
        <w:rPr/>
        <w:t>元</w:t>
      </w:r>
    </w:p>
    <w:p>
      <w:r>
        <w:rPr>
          <w:b/>
          <w:sz w:val="24"/>
        </w:rPr>
        <w:t>2.项目内容及需求情况（采购项目技术规格、参数及要求）</w:t>
      </w:r>
    </w:p>
    <w:p>
      <w:pPr>
        <w:ind w:firstLine="480"/>
      </w:pPr>
    </w:p>
    <w:p/>
    <w:p>
      <w:r>
        <w:rPr/>
        <w:t>采购包1(车岗镇圩镇保洁项目):</w:t>
      </w:r>
    </w:p>
    <w:p>
      <w:r>
        <w:rPr/>
        <w:t>采购包预算金额：1,584,000.00元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清扫服务</w:t>
            </w:r>
          </w:p>
        </w:tc>
        <w:tc>
          <w:tcPr>
            <w:tcW w:type="dxa" w:w="2052"/>
          </w:tcPr>
          <w:p>
            <w:r>
              <w:rPr/>
              <w:t>车岗镇圩镇保洁服务</w:t>
            </w:r>
          </w:p>
        </w:tc>
        <w:tc>
          <w:tcPr>
            <w:tcW w:type="dxa" w:w="977"/>
          </w:tcPr>
          <w:p>
            <w:r>
              <w:rPr/>
              <w:t>1.0000(项)</w:t>
            </w:r>
          </w:p>
        </w:tc>
        <w:tc>
          <w:tcPr>
            <w:tcW w:type="dxa" w:w="977"/>
          </w:tcPr>
          <w:p>
            <w:r>
              <w:rPr/>
              <w:t>详见第二章</w:t>
            </w:r>
          </w:p>
        </w:tc>
        <w:tc>
          <w:tcPr>
            <w:tcW w:type="dxa" w:w="977"/>
          </w:tcPr>
          <w:p>
            <w:r>
              <w:rPr/>
              <w:t>1,584,000.00</w:t>
            </w:r>
          </w:p>
        </w:tc>
        <w:tc>
          <w:tcPr>
            <w:tcW w:type="dxa" w:w="977"/>
          </w:tcPr>
          <w:p>
            <w:r>
              <w:rPr/>
              <w:t>否</w:t>
            </w:r>
          </w:p>
        </w:tc>
      </w:tr>
    </w:tbl>
    <w:p/>
    <w:p>
      <w:r>
        <w:rPr/>
        <w:t>本采购包不接受联合体响应</w:t>
      </w:r>
    </w:p>
    <w:p/>
    <w:p>
      <w:r>
        <w:rPr/>
        <w:t>合同履行期限：2022年11月01日至2025年10月31日，共3年</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1）具有独立承担民事责任的能力：提供有效营业执照（或事业单位法人证书）复印件，如非“多证合一”证照的还须同时提供组织机构代码证和税务登记证复印件。</w:t>
      </w:r>
    </w:p>
    <w:p/>
    <w:p>
      <w:r>
        <w:rPr/>
        <w:t>2）具有良好的商业信誉和健全的财务会计制度：提供2021年度财务报表或2022年任意一个月度/季度财务报表复印件（新成立的企业或提供基本户开户行出具的资信证明复印件）。</w:t>
      </w:r>
    </w:p>
    <w:p/>
    <w:p>
      <w:r>
        <w:rPr/>
        <w:t>3）履行合同所必需的设备和专业技术能力：在响应文件中提供声明函。</w:t>
      </w:r>
    </w:p>
    <w:p/>
    <w:p>
      <w:r>
        <w:rPr/>
        <w:t>4）有依法缴纳税收和社会保障资金的良好记录：提供投标截止日前六个月内任意一个月缴纳税收和社会保险的凭据复印件；依法免税或不需要缴纳社会保障资金的供应商应提供相关证明文件复印件。</w:t>
      </w:r>
    </w:p>
    <w:p/>
    <w:p>
      <w:r>
        <w:rPr/>
        <w:t>5）参加采购活动前3年内，在经营活动中没有重大违法记录：在响应文件中提供声明函。</w:t>
      </w:r>
    </w:p>
    <w:p/>
    <w:p>
      <w:r>
        <w:rPr>
          <w:b/>
          <w:sz w:val="24"/>
        </w:rPr>
        <w:t>2.落实政府采购政策需满足的资格要求：</w:t>
      </w:r>
    </w:p>
    <w:p>
      <w:pPr>
        <w:ind w:firstLine="480"/>
      </w:pPr>
    </w:p>
    <w:p>
      <w:pPr>
        <w:jc w:val="left"/>
      </w:pPr>
    </w:p>
    <w:p>
      <w:r>
        <w:rPr/>
        <w:t>采购包1（车岗镇圩镇保洁项目）：</w:t>
      </w:r>
      <w:r>
        <w:rPr/>
        <w:t>采购包整体专门面向中小企业，为预留份额的采购项目。</w:t>
      </w:r>
    </w:p>
    <w:p/>
    <w:p>
      <w:r>
        <w:rPr>
          <w:b/>
          <w:sz w:val="24"/>
        </w:rPr>
        <w:t>3.本项目特定的资格要求：</w:t>
      </w:r>
    </w:p>
    <w:p>
      <w:pPr>
        <w:ind w:firstLine="480"/>
      </w:pPr>
    </w:p>
    <w:p/>
    <w:p>
      <w:r>
        <w:rPr/>
        <w:t>采购包1（车岗镇圩镇保洁项目）：</w:t>
      </w:r>
    </w:p>
    <w:p/>
    <w:p>
      <w:r>
        <w:rPr/>
        <w:t>1)（1）供应商须具备法律、行政法规规定的其他条件：在响应文件中提供声明函。 （2）供应商须是在中华人民共和国境内注册的具备独立承担民事责任能力的法人或其它组织。 （3）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（4）本项目不接受联合体参加投标，不允许转包和分包。 （5）本项目为一个整体，供应商须对全部内容进行投标，不得分拆。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新兴县车岗镇人民政府</w:t>
      </w:r>
    </w:p>
    <w:p>
      <w:pPr>
        <w:ind w:firstLine="480"/>
      </w:pPr>
      <w:r>
        <w:rPr/>
        <w:t>地址：</w:t>
      </w:r>
      <w:r>
        <w:rPr/>
        <w:t>广东省云浮市新兴县车岗镇车岗圩11号</w:t>
      </w:r>
    </w:p>
    <w:p>
      <w:pPr>
        <w:ind w:firstLine="480"/>
      </w:pPr>
      <w:r>
        <w:rPr/>
        <w:t>联系方式：</w:t>
      </w:r>
      <w:r>
        <w:rPr/>
        <w:t>甘先生 0766-2389785</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简先生 0766-2922133</w:t>
      </w:r>
    </w:p>
    <w:p>
      <w:r>
        <w:rPr>
          <w:b/>
          <w:sz w:val="24"/>
        </w:rPr>
        <w:t>3.项目联系方式</w:t>
      </w:r>
    </w:p>
    <w:p>
      <w:pPr>
        <w:ind w:firstLine="480"/>
      </w:pPr>
      <w:r>
        <w:rPr/>
        <w:t>项目联系人：</w:t>
      </w:r>
      <w:r>
        <w:rPr/>
        <w:t>简先生</w:t>
      </w:r>
    </w:p>
    <w:p>
      <w:pPr>
        <w:ind w:firstLine="480"/>
      </w:pPr>
      <w:r>
        <w:rPr/>
        <w:t>电话：</w:t>
      </w:r>
      <w:r>
        <w:rPr/>
        <w:t>简先生 0766-2922133</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b/>
          <w:sz w:val="22"/>
        </w:rPr>
        <w:t>1、</w:t>
      </w:r>
      <w:r>
        <w:rPr>
          <w:b/>
          <w:sz w:val="22"/>
        </w:rPr>
        <w:t>项目</w:t>
      </w:r>
      <w:r>
        <w:rPr>
          <w:b/>
          <w:sz w:val="22"/>
        </w:rPr>
        <w:t>背景</w:t>
      </w:r>
    </w:p>
    <w:p>
      <w:pPr>
        <w:ind w:firstLine="420"/>
      </w:pPr>
      <w:r>
        <w:rPr>
          <w:sz w:val="21"/>
        </w:rPr>
        <w:t>为了加强车岗镇环境卫生管理工作，规范生活垃圾的收集清扫清运，给居民营造一个洁净、舒适的生活、工作环境，计划实施本项目。</w:t>
      </w:r>
    </w:p>
    <w:p/>
    <w:p>
      <w:pPr>
        <w:ind w:firstLine="480"/>
      </w:pPr>
    </w:p>
    <w:p/>
    <w:p>
      <w:r>
        <w:rPr/>
        <w:t>合同包1（车岗镇圩镇保洁项目）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★2022年11月01日至2025年10月31日，共3年</w:t>
            </w:r>
          </w:p>
        </w:tc>
      </w:tr>
      <w:tr>
        <w:tc>
          <w:tcPr>
            <w:tcW w:type="dxa" w:w="4153"/>
          </w:tcPr>
          <w:p>
            <w:r>
              <w:rPr/>
              <w:t>标的提供的地点</w:t>
            </w:r>
          </w:p>
        </w:tc>
        <w:tc>
          <w:tcPr>
            <w:tcW w:type="dxa" w:w="4153"/>
          </w:tcPr>
          <w:p/>
          <w:p>
            <w:r>
              <w:rPr/>
              <w:t>新兴县车岗镇</w:t>
            </w:r>
          </w:p>
        </w:tc>
      </w:tr>
      <w:tr>
        <w:tc>
          <w:tcPr>
            <w:tcW w:type="dxa" w:w="4153"/>
          </w:tcPr>
          <w:p>
            <w:r>
              <w:rPr/>
              <w:t>付款方式</w:t>
            </w:r>
          </w:p>
        </w:tc>
        <w:tc>
          <w:tcPr>
            <w:tcW w:type="dxa" w:w="4153"/>
          </w:tcPr>
          <w:p/>
          <w:p/>
          <w:p>
            <w:r>
              <w:rPr/>
              <w:t>1期：支付比例100%,★由采购人按下列程序付款： （1）以成交价为基数，按每年12个月平均计算当月的承包款（含考核部分10000.00元/月）； （2）按月度付款，完成月度工作且经采购人组织考核验收后确定当月实际承包款； （3）由圩镇商户代表、人大代表及镇政府工作人员负责监督实施和考核评分，实行百分制（每月最高得分为100分），即每月对成交供应商在辖区内的作业服务情况进行评分，再由镇环保办对考核得分进行汇总，得出最终分数（具体考评细则详见“技术标准与要求”中的附件）； （4）如当月考核最终得分等于100分，足额支付当月应得承包款；如低于100分，须按每低于100分一分，扣减当月考核部分金额（10000.00元）的1%，并结合处罚细则支付当月实际承包款； （5）每月实际支付承包款经镇分管领导审核后支付。</w:t>
            </w:r>
          </w:p>
        </w:tc>
      </w:tr>
      <w:tr>
        <w:tc>
          <w:tcPr>
            <w:tcW w:type="dxa" w:w="4153"/>
          </w:tcPr>
          <w:p>
            <w:r>
              <w:rPr/>
              <w:t>验收要求</w:t>
            </w:r>
          </w:p>
        </w:tc>
        <w:tc>
          <w:tcPr>
            <w:tcW w:type="dxa" w:w="4153"/>
          </w:tcPr>
          <w:p/>
          <w:p/>
          <w:p/>
          <w:p>
            <w:r>
              <w:rPr/>
              <w:t>1期：（1）采购人采取定期考核、随机抽查与集中检查等多种形式对成交供应商的保洁工作进行督查和动态考核。 ★（2）项目所有成果须按月度通过采购人的考核验收，详细考核内容详见“技术标准与要求”中的附件《车岗镇圩镇保洁项目考评细则》。 （3）所有考核验收文件、工作报告、资料要提交给采购人以作留档备案。</w:t>
            </w:r>
          </w:p>
        </w:tc>
      </w:tr>
      <w:tr>
        <w:tc>
          <w:tcPr>
            <w:tcW w:type="dxa" w:w="4153"/>
          </w:tcPr>
          <w:p>
            <w:r>
              <w:rPr/>
              <w:t>履约保证金</w:t>
            </w:r>
          </w:p>
        </w:tc>
        <w:tc>
          <w:tcPr>
            <w:tcW w:type="dxa" w:w="4153"/>
          </w:tcPr>
          <w:p/>
          <w:p/>
          <w:p/>
          <w:p/>
          <w:p>
            <w:r>
              <w:rPr/>
              <w:t>收取比例：3.16%,说明：★履约保证金 （1）成交供应商须在合同签订前向采购人提交履约保证金（人民币50000.00元）。如果成交供应商拒绝提交履约保证金，采购人将有充分理由取消其成交资格，成交供应商应承担违约责任。 （2）履约保证金提交方式：由供应商自主选择以支票、汇票、本票或者金融机构、担保机构出具的保函等非现金形式提交。 （3）履约保证金退还方式：原路退还。 （4）在合同履行期间如无出现违反采购文件及合同条款的行为，履约保证金在服务期结束（合同期满）后一个月内无息退还（或解除保函）。 （5）若出现以下情形，履约保证金将不予退还： 1）成交供应商将中标项目转让或分包给他人； 2）成交供应商连续三个月考核不合格（月度考核不足60分）。 （6）采购人如逾期退还履约保证金，则每日按履约保证金的1‰向成交供应商偿付违约金。</w:t>
            </w:r>
          </w:p>
        </w:tc>
      </w:tr>
      <w:tr>
        <w:tc>
          <w:tcPr>
            <w:tcW w:type="dxa" w:w="4153"/>
          </w:tcPr>
          <w:p>
            <w:r>
              <w:rPr/>
              <w:t>其他</w:t>
            </w:r>
          </w:p>
        </w:tc>
        <w:tc>
          <w:tcPr>
            <w:tcW w:type="dxa" w:w="4153"/>
          </w:tcPr>
          <w:p/>
          <w:p/>
          <w:p>
            <w:r>
              <w:rPr/>
              <w:t>其他要求，（1）供应商须对项目实施提供必要的质量保证和服务保证。 （2）在合同期内，成交供应商必须根据合同中的各项条款，切实履行各项职责，因成交供应商履行合同不到位或不服从指令等原因造成生命财产损失，由成交供应商独自承担其法律和经济责任，与采购人无关。 （3）成交供应商必须随时接受采购单位以及其它相关部门的监督、检查和指导，必须服从采购单位组织的一些突击性任务及迎检活动，按时、按标准、按要求完成所分配的工作。 （4）成交供应商工作联系电话必须每天24小时保持畅通，及时接听电话，并须与采购人协商好垃圾运送的时间，实现无缝对接，确保垃圾及时清运。 （5）因不可抗力因素或县相关部门对车岗镇圩镇保洁作统一管理，自接到政府书面通知当月，月末最后一天结束自动解除合同。</w:t>
            </w:r>
          </w:p>
        </w:tc>
      </w:tr>
    </w:tbl>
    <w:p/>
    <w:p>
      <w:r>
        <w:rPr/>
        <w:t>其他商务需求</w:t>
      </w:r>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（1）供应商的报价须以人民币元为单位（小数点后可保留两位小数），所报的价格不得高于采购预算，否则视为无效投标。 （2）报价须包括人员费用、设备购置费用以及维护费用、日常消耗品、保洁工具购置费用、管理费用、迎检应急加班处理费用、不可预见费用、税金、合法利润以及由保洁作业产生的其他全部费用。</w:t>
            </w:r>
          </w:p>
        </w:tc>
      </w:tr>
      <w:tr>
        <w:tc>
          <w:tcPr>
            <w:tcW w:type="dxa" w:w="2076"/>
          </w:tcPr>
          <w:p>
            <w:pPr>
              <w:jc w:val="center"/>
            </w:pPr>
            <w:r>
              <w:rPr/>
              <w:t>★</w:t>
            </w:r>
          </w:p>
        </w:tc>
        <w:tc>
          <w:tcPr>
            <w:tcW w:type="dxa" w:w="2076"/>
          </w:tcPr>
          <w:p>
            <w:pPr>
              <w:jc w:val="center"/>
            </w:pPr>
            <w:r>
              <w:rPr/>
              <w:t>2</w:t>
            </w:r>
          </w:p>
        </w:tc>
        <w:tc>
          <w:tcPr>
            <w:tcW w:type="dxa" w:w="2076"/>
          </w:tcPr>
          <w:p>
            <w:pPr>
              <w:jc w:val="left"/>
            </w:pPr>
            <w:r>
              <w:rPr/>
              <w:t>付款方式</w:t>
            </w:r>
          </w:p>
        </w:tc>
        <w:tc>
          <w:tcPr>
            <w:tcW w:type="dxa" w:w="2076"/>
          </w:tcPr>
          <w:p>
            <w:pPr>
              <w:jc w:val="left"/>
            </w:pPr>
            <w:r>
              <w:rPr/>
              <w:t>（1）成交供应商凭以下有效文件向采购人申请支付： 1）合同； 2）成交供应商开具的正式发票； 3）考核报告（加盖采购人公章）； 4）成交通知书； 5）采购人要求提供的其它请款资料。 （2）付款方式：采用银行转账等形式。成交供应商必须在当月十五日前将上个月承包款的正式发票交给采购人，采购人当月结清上月承包款。 （3）因采购人使用的资金涉及财政资金，采购人在前款规定的付款时间为向财政支付部门提出办理财政支付申请手续的时间（不含政府财政支付部门审核的时间），在规定时间内提出支付申请手续后即视为采购人已经按期支付。</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清扫服务</w:t>
            </w:r>
          </w:p>
        </w:tc>
        <w:tc>
          <w:tcPr>
            <w:tcW w:type="dxa" w:w="933"/>
          </w:tcPr>
          <w:p>
            <w:pPr>
              <w:jc w:val="left"/>
            </w:pPr>
            <w:r>
              <w:rPr/>
              <w:t>车岗镇圩镇保洁服务</w:t>
            </w:r>
          </w:p>
        </w:tc>
        <w:tc>
          <w:tcPr>
            <w:tcW w:type="dxa" w:w="933"/>
          </w:tcPr>
          <w:p>
            <w:pPr>
              <w:jc w:val="left"/>
            </w:pPr>
            <w:r>
              <w:rPr/>
              <w:t>项</w:t>
            </w:r>
          </w:p>
        </w:tc>
        <w:tc>
          <w:tcPr>
            <w:tcW w:type="dxa" w:w="933"/>
          </w:tcPr>
          <w:p>
            <w:pPr>
              <w:jc w:val="right"/>
            </w:pPr>
            <w:r>
              <w:rPr/>
              <w:t>1.00</w:t>
            </w:r>
          </w:p>
        </w:tc>
        <w:tc>
          <w:tcPr>
            <w:tcW w:type="dxa" w:w="933"/>
          </w:tcPr>
          <w:p>
            <w:pPr>
              <w:jc w:val="right"/>
            </w:pPr>
            <w:r>
              <w:rPr/>
              <w:t>1,584,000.00</w:t>
            </w:r>
          </w:p>
        </w:tc>
        <w:tc>
          <w:tcPr>
            <w:tcW w:type="dxa" w:w="933"/>
          </w:tcPr>
          <w:p>
            <w:pPr>
              <w:jc w:val="right"/>
            </w:pPr>
            <w:r>
              <w:rPr/>
              <w:t>1,584,000.00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车岗镇圩镇保洁服务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r>
              <w:rPr>
                <w:b/>
                <w:sz w:val="22"/>
              </w:rPr>
              <w:t>（</w:t>
            </w:r>
            <w:r>
              <w:rPr>
                <w:b/>
                <w:sz w:val="22"/>
              </w:rPr>
              <w:t>1</w:t>
            </w:r>
            <w:r>
              <w:rPr>
                <w:b/>
                <w:sz w:val="22"/>
              </w:rPr>
              <w:t>）保洁范围</w:t>
            </w:r>
          </w:p>
          <w:p>
            <w:r>
              <w:rPr>
                <w:sz w:val="21"/>
              </w:rPr>
              <w:t>1）</w:t>
            </w:r>
            <w:r>
              <w:rPr>
                <w:sz w:val="21"/>
              </w:rPr>
              <w:t>车岗镇区域内圩镇、省道</w:t>
            </w:r>
            <w:r>
              <w:rPr>
                <w:sz w:val="21"/>
              </w:rPr>
              <w:t>S276线沿线（水母塘至车岗镇与腰古镇交接处）、汕湛高速车岗出口至省道S276线红绿灯处、车岗大桥至猎人谷路段、开发区路段及辖区内的生活垃圾、枯枝落叶、路边杂草、泥沙粉尘、河道漂浮物、牛皮癣及大件垃圾收集、保洁和清运工作，圩镇范围内公厕的保洁工作及圩镇及省道路段周边花圃的管护。</w:t>
            </w:r>
          </w:p>
          <w:p>
            <w:r>
              <w:rPr>
                <w:sz w:val="21"/>
              </w:rPr>
              <w:t>2）</w:t>
            </w:r>
            <w:r>
              <w:rPr>
                <w:sz w:val="21"/>
              </w:rPr>
              <w:t>车岗镇圩镇范围情况一览表</w:t>
            </w:r>
          </w:p>
          <w:tbl>
            <w:tblPr>
              <w:tblBorders>
                <w:top w:val="none" w:color="000000" w:sz="4"/>
                <w:left w:val="none" w:color="000000" w:sz="4"/>
                <w:bottom w:val="none" w:color="000000" w:sz="4"/>
                <w:right w:val="none" w:color="000000" w:sz="4"/>
                <w:insideH w:val="none"/>
                <w:insideV w:val="none"/>
              </w:tblBorders>
            </w:tblPr>
            <w:tblGrid>
              <w:gridCol w:w="799"/>
              <w:gridCol w:w="4798"/>
            </w:tblGrid>
            <w:tr>
              <w:tc>
                <w:tcPr>
                  <w:tcW w:type="dxa" w:w="799"/>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4798"/>
                  <w:tcBorders>
                    <w:top w:val="single" w:color="000000" w:sz="4"/>
                    <w:left w:val="single" w:color="000000" w:sz="4"/>
                    <w:bottom w:val="single" w:color="000000" w:sz="4"/>
                    <w:right w:val="single" w:color="000000" w:sz="4"/>
                  </w:tcBorders>
                  <w:vAlign w:val="top"/>
                </w:tcPr>
                <w:p>
                  <w:pPr>
                    <w:jc w:val="center"/>
                  </w:pPr>
                  <w:r>
                    <w:rPr>
                      <w:b/>
                      <w:sz w:val="21"/>
                    </w:rPr>
                    <w:t>范围</w:t>
                  </w:r>
                </w:p>
              </w:tc>
            </w:tr>
            <w:tr>
              <w:tc>
                <w:tcPr>
                  <w:tcW w:type="dxa" w:w="7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798"/>
                  <w:tcBorders>
                    <w:top w:val="none" w:color="000000" w:sz="4"/>
                    <w:left w:val="single" w:color="000000" w:sz="4"/>
                    <w:bottom w:val="single" w:color="000000" w:sz="4"/>
                    <w:right w:val="single" w:color="000000" w:sz="4"/>
                  </w:tcBorders>
                  <w:vAlign w:val="top"/>
                </w:tcPr>
                <w:p>
                  <w:r>
                    <w:rPr>
                      <w:sz w:val="21"/>
                    </w:rPr>
                    <w:t>车岗农村商业银行至车岗中心小学的街道及附近居民巷道</w:t>
                  </w:r>
                </w:p>
              </w:tc>
            </w:tr>
            <w:tr>
              <w:tc>
                <w:tcPr>
                  <w:tcW w:type="dxa" w:w="79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798"/>
                  <w:tcBorders>
                    <w:top w:val="none" w:color="000000" w:sz="4"/>
                    <w:left w:val="single" w:color="000000" w:sz="4"/>
                    <w:bottom w:val="single" w:color="000000" w:sz="4"/>
                    <w:right w:val="single" w:color="000000" w:sz="4"/>
                  </w:tcBorders>
                  <w:vAlign w:val="top"/>
                </w:tcPr>
                <w:p>
                  <w:r>
                    <w:rPr>
                      <w:sz w:val="21"/>
                    </w:rPr>
                    <w:t>车岗中学路口至爱心药店的街道</w:t>
                  </w:r>
                </w:p>
              </w:tc>
            </w:tr>
            <w:tr>
              <w:tc>
                <w:tcPr>
                  <w:tcW w:type="dxa" w:w="79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798"/>
                  <w:tcBorders>
                    <w:top w:val="none" w:color="000000" w:sz="4"/>
                    <w:left w:val="single" w:color="000000" w:sz="4"/>
                    <w:bottom w:val="single" w:color="000000" w:sz="4"/>
                    <w:right w:val="single" w:color="000000" w:sz="4"/>
                  </w:tcBorders>
                  <w:vAlign w:val="top"/>
                </w:tcPr>
                <w:p>
                  <w:r>
                    <w:rPr>
                      <w:sz w:val="21"/>
                    </w:rPr>
                    <w:t>爱心药店至车岗中心小学的街道</w:t>
                  </w:r>
                </w:p>
              </w:tc>
            </w:tr>
            <w:tr>
              <w:tc>
                <w:tcPr>
                  <w:tcW w:type="dxa" w:w="79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798"/>
                  <w:tcBorders>
                    <w:top w:val="none" w:color="000000" w:sz="4"/>
                    <w:left w:val="single" w:color="000000" w:sz="4"/>
                    <w:bottom w:val="single" w:color="000000" w:sz="4"/>
                    <w:right w:val="single" w:color="000000" w:sz="4"/>
                  </w:tcBorders>
                  <w:vAlign w:val="top"/>
                </w:tcPr>
                <w:p>
                  <w:r>
                    <w:rPr>
                      <w:sz w:val="21"/>
                    </w:rPr>
                    <w:t>旧农业银行至车岗政府的街道及附近居民巷道</w:t>
                  </w:r>
                </w:p>
              </w:tc>
            </w:tr>
            <w:tr>
              <w:tc>
                <w:tcPr>
                  <w:tcW w:type="dxa" w:w="79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4798"/>
                  <w:tcBorders>
                    <w:top w:val="none" w:color="000000" w:sz="4"/>
                    <w:left w:val="single" w:color="000000" w:sz="4"/>
                    <w:bottom w:val="single" w:color="000000" w:sz="4"/>
                    <w:right w:val="single" w:color="000000" w:sz="4"/>
                  </w:tcBorders>
                  <w:vAlign w:val="top"/>
                </w:tcPr>
                <w:p>
                  <w:r>
                    <w:rPr>
                      <w:sz w:val="21"/>
                    </w:rPr>
                    <w:t>子良商店至孖妹商店的街道及附近居民巷道</w:t>
                  </w:r>
                </w:p>
              </w:tc>
            </w:tr>
            <w:tr>
              <w:tc>
                <w:tcPr>
                  <w:tcW w:type="dxa" w:w="799"/>
                  <w:tcBorders>
                    <w:top w:val="none" w:color="000000" w:sz="4"/>
                    <w:left w:val="single" w:color="000000" w:sz="4"/>
                    <w:bottom w:val="single" w:color="000000" w:sz="4"/>
                    <w:right w:val="single" w:color="000000" w:sz="4"/>
                  </w:tcBorders>
                  <w:vAlign w:val="top"/>
                </w:tcPr>
                <w:p>
                  <w:pPr>
                    <w:jc w:val="center"/>
                  </w:pPr>
                  <w:r>
                    <w:rPr>
                      <w:sz w:val="21"/>
                    </w:rPr>
                    <w:t>6</w:t>
                  </w:r>
                </w:p>
              </w:tc>
              <w:tc>
                <w:tcPr>
                  <w:tcW w:type="dxa" w:w="4798"/>
                  <w:tcBorders>
                    <w:top w:val="none" w:color="000000" w:sz="4"/>
                    <w:left w:val="single" w:color="000000" w:sz="4"/>
                    <w:bottom w:val="single" w:color="000000" w:sz="4"/>
                    <w:right w:val="single" w:color="000000" w:sz="4"/>
                  </w:tcBorders>
                  <w:vAlign w:val="top"/>
                </w:tcPr>
                <w:p>
                  <w:r>
                    <w:rPr>
                      <w:sz w:val="21"/>
                    </w:rPr>
                    <w:t>车岗市场一、二楼</w:t>
                  </w:r>
                </w:p>
              </w:tc>
            </w:tr>
            <w:tr>
              <w:tc>
                <w:tcPr>
                  <w:tcW w:type="dxa" w:w="799"/>
                  <w:tcBorders>
                    <w:top w:val="none" w:color="000000" w:sz="4"/>
                    <w:left w:val="single" w:color="000000" w:sz="4"/>
                    <w:bottom w:val="single" w:color="000000" w:sz="4"/>
                    <w:right w:val="single" w:color="000000" w:sz="4"/>
                  </w:tcBorders>
                  <w:vAlign w:val="top"/>
                </w:tcPr>
                <w:p>
                  <w:pPr>
                    <w:jc w:val="center"/>
                  </w:pPr>
                  <w:r>
                    <w:rPr>
                      <w:sz w:val="21"/>
                    </w:rPr>
                    <w:t>7</w:t>
                  </w:r>
                </w:p>
              </w:tc>
              <w:tc>
                <w:tcPr>
                  <w:tcW w:type="dxa" w:w="4798"/>
                  <w:tcBorders>
                    <w:top w:val="none" w:color="000000" w:sz="4"/>
                    <w:left w:val="single" w:color="000000" w:sz="4"/>
                    <w:bottom w:val="single" w:color="000000" w:sz="4"/>
                    <w:right w:val="single" w:color="000000" w:sz="4"/>
                  </w:tcBorders>
                  <w:vAlign w:val="top"/>
                </w:tcPr>
                <w:p>
                  <w:r>
                    <w:rPr>
                      <w:sz w:val="21"/>
                    </w:rPr>
                    <w:t>车岗大桥至镇垃圾中转站的道路</w:t>
                  </w:r>
                </w:p>
              </w:tc>
            </w:tr>
            <w:tr>
              <w:tc>
                <w:tcPr>
                  <w:tcW w:type="dxa" w:w="799"/>
                  <w:tcBorders>
                    <w:top w:val="none" w:color="000000" w:sz="4"/>
                    <w:left w:val="single" w:color="000000" w:sz="4"/>
                    <w:bottom w:val="single" w:color="000000" w:sz="4"/>
                    <w:right w:val="single" w:color="000000" w:sz="4"/>
                  </w:tcBorders>
                  <w:vAlign w:val="top"/>
                </w:tcPr>
                <w:p>
                  <w:pPr>
                    <w:jc w:val="center"/>
                  </w:pPr>
                  <w:r>
                    <w:rPr>
                      <w:sz w:val="21"/>
                    </w:rPr>
                    <w:t>8</w:t>
                  </w:r>
                </w:p>
              </w:tc>
              <w:tc>
                <w:tcPr>
                  <w:tcW w:type="dxa" w:w="4798"/>
                  <w:tcBorders>
                    <w:top w:val="none" w:color="000000" w:sz="4"/>
                    <w:left w:val="single" w:color="000000" w:sz="4"/>
                    <w:bottom w:val="single" w:color="000000" w:sz="4"/>
                    <w:right w:val="single" w:color="000000" w:sz="4"/>
                  </w:tcBorders>
                  <w:vAlign w:val="top"/>
                </w:tcPr>
                <w:p>
                  <w:r>
                    <w:rPr>
                      <w:sz w:val="21"/>
                    </w:rPr>
                    <w:t>开发区两旁至第三排房屋道路及辖区内居民巷道</w:t>
                  </w:r>
                </w:p>
              </w:tc>
            </w:tr>
            <w:tr>
              <w:tc>
                <w:tcPr>
                  <w:tcW w:type="dxa" w:w="799"/>
                  <w:tcBorders>
                    <w:top w:val="none" w:color="000000" w:sz="4"/>
                    <w:left w:val="single" w:color="000000" w:sz="4"/>
                    <w:bottom w:val="single" w:color="000000" w:sz="4"/>
                    <w:right w:val="single" w:color="000000" w:sz="4"/>
                  </w:tcBorders>
                  <w:vAlign w:val="top"/>
                </w:tcPr>
                <w:p>
                  <w:pPr>
                    <w:jc w:val="center"/>
                  </w:pPr>
                  <w:r>
                    <w:rPr>
                      <w:sz w:val="21"/>
                    </w:rPr>
                    <w:t>9</w:t>
                  </w:r>
                </w:p>
              </w:tc>
              <w:tc>
                <w:tcPr>
                  <w:tcW w:type="dxa" w:w="4798"/>
                  <w:tcBorders>
                    <w:top w:val="none" w:color="000000" w:sz="4"/>
                    <w:left w:val="single" w:color="000000" w:sz="4"/>
                    <w:bottom w:val="single" w:color="000000" w:sz="4"/>
                    <w:right w:val="single" w:color="000000" w:sz="4"/>
                  </w:tcBorders>
                  <w:vAlign w:val="top"/>
                </w:tcPr>
                <w:p>
                  <w:r>
                    <w:rPr>
                      <w:sz w:val="21"/>
                    </w:rPr>
                    <w:t>教师村路口对面小巷（包括车岗公厕及新好邻居位置附近的巷道和闲置空地）</w:t>
                  </w:r>
                </w:p>
              </w:tc>
            </w:tr>
            <w:tr>
              <w:tc>
                <w:tcPr>
                  <w:tcW w:type="dxa" w:w="799"/>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4798"/>
                  <w:tcBorders>
                    <w:top w:val="none" w:color="000000" w:sz="4"/>
                    <w:left w:val="single" w:color="000000" w:sz="4"/>
                    <w:bottom w:val="single" w:color="000000" w:sz="4"/>
                    <w:right w:val="single" w:color="000000" w:sz="4"/>
                  </w:tcBorders>
                  <w:vAlign w:val="top"/>
                </w:tcPr>
                <w:p>
                  <w:r>
                    <w:rPr>
                      <w:sz w:val="21"/>
                    </w:rPr>
                    <w:t>车岗中学对面的小巷及闲置空地</w:t>
                  </w:r>
                </w:p>
              </w:tc>
            </w:tr>
            <w:tr>
              <w:tc>
                <w:tcPr>
                  <w:tcW w:type="dxa" w:w="799"/>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4798"/>
                  <w:tcBorders>
                    <w:top w:val="none" w:color="000000" w:sz="4"/>
                    <w:left w:val="single" w:color="000000" w:sz="4"/>
                    <w:bottom w:val="single" w:color="000000" w:sz="4"/>
                    <w:right w:val="single" w:color="000000" w:sz="4"/>
                  </w:tcBorders>
                  <w:vAlign w:val="top"/>
                </w:tcPr>
                <w:p>
                  <w:r>
                    <w:rPr>
                      <w:sz w:val="21"/>
                    </w:rPr>
                    <w:t>滨江公园及附近观景台、碧道</w:t>
                  </w:r>
                </w:p>
              </w:tc>
            </w:tr>
            <w:tr>
              <w:tc>
                <w:tcPr>
                  <w:tcW w:type="dxa" w:w="799"/>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4798"/>
                  <w:tcBorders>
                    <w:top w:val="none" w:color="000000" w:sz="4"/>
                    <w:left w:val="single" w:color="000000" w:sz="4"/>
                    <w:bottom w:val="single" w:color="000000" w:sz="4"/>
                    <w:right w:val="single" w:color="000000" w:sz="4"/>
                  </w:tcBorders>
                  <w:vAlign w:val="top"/>
                </w:tcPr>
                <w:p>
                  <w:r>
                    <w:rPr>
                      <w:sz w:val="21"/>
                    </w:rPr>
                    <w:t>圩镇范围内大小河道支流</w:t>
                  </w:r>
                </w:p>
              </w:tc>
            </w:tr>
          </w:tbl>
        </w:tc>
      </w:tr>
      <w:tr>
        <w:tc>
          <w:tcPr>
            <w:tcW w:type="dxa" w:w="2076"/>
          </w:tcPr>
          <w:p>
            <w:r>
              <w:rPr/>
              <w:t>★</w:t>
            </w:r>
          </w:p>
        </w:tc>
        <w:tc>
          <w:tcPr>
            <w:tcW w:type="dxa" w:w="415"/>
          </w:tcPr>
          <w:p>
            <w:r>
              <w:rPr/>
              <w:t>2</w:t>
            </w:r>
          </w:p>
        </w:tc>
        <w:tc>
          <w:tcPr>
            <w:tcW w:type="dxa" w:w="5814"/>
          </w:tcPr>
          <w:p>
            <w:r>
              <w:rPr>
                <w:b/>
                <w:sz w:val="22"/>
              </w:rPr>
              <w:t>（</w:t>
            </w:r>
            <w:r>
              <w:rPr>
                <w:b/>
                <w:sz w:val="22"/>
              </w:rPr>
              <w:t>2</w:t>
            </w:r>
            <w:r>
              <w:rPr>
                <w:b/>
                <w:sz w:val="22"/>
              </w:rPr>
              <w:t>）服务要求</w:t>
            </w:r>
          </w:p>
          <w:p>
            <w:r>
              <w:rPr>
                <w:sz w:val="21"/>
              </w:rPr>
              <w:t>1</w:t>
            </w:r>
            <w:r>
              <w:rPr>
                <w:sz w:val="21"/>
              </w:rPr>
              <w:t>）</w:t>
            </w:r>
            <w:r>
              <w:rPr>
                <w:sz w:val="21"/>
              </w:rPr>
              <w:t>对车岗镇圩镇每日所生产的生活垃圾收集、清扫、清运，装车密闭运送至车岗镇垃圾中转站进行处理，垃圾实行日产日清</w:t>
            </w:r>
            <w:r>
              <w:rPr>
                <w:sz w:val="21"/>
              </w:rPr>
              <w:t>。</w:t>
            </w:r>
          </w:p>
          <w:p>
            <w:r>
              <w:rPr>
                <w:sz w:val="21"/>
              </w:rPr>
              <w:t>2</w:t>
            </w:r>
            <w:r>
              <w:rPr>
                <w:sz w:val="21"/>
              </w:rPr>
              <w:t>）</w:t>
            </w:r>
            <w:r>
              <w:rPr>
                <w:sz w:val="21"/>
              </w:rPr>
              <w:t>对车岗镇省道</w:t>
            </w:r>
            <w:r>
              <w:rPr>
                <w:sz w:val="21"/>
              </w:rPr>
              <w:t>S276线沿线（水母塘至车岗镇与腰古镇交接处）、汕湛高速车岗出口至省道S276线红绿灯处、车岗大桥至猎人谷路段日常的枯枝落叶、路边杂草及每日所生产的生活垃圾收集、清扫、清运，装车密闭运送至车岗镇垃圾中转站进行处理，垃圾实行日产日清</w:t>
            </w:r>
            <w:r>
              <w:rPr>
                <w:sz w:val="21"/>
              </w:rPr>
              <w:t>。</w:t>
            </w:r>
          </w:p>
          <w:p>
            <w:r>
              <w:rPr>
                <w:sz w:val="21"/>
              </w:rPr>
              <w:t>3</w:t>
            </w:r>
            <w:r>
              <w:rPr>
                <w:sz w:val="21"/>
              </w:rPr>
              <w:t>）</w:t>
            </w:r>
            <w:r>
              <w:rPr>
                <w:sz w:val="21"/>
              </w:rPr>
              <w:t>对车岗镇开发区路段及辖区内每日所生产的生活垃圾收集、清扫、清运，装车密闭运送至车岗镇垃圾中转站进行处理，垃圾实行日产日清</w:t>
            </w:r>
            <w:r>
              <w:rPr>
                <w:sz w:val="21"/>
              </w:rPr>
              <w:t>。</w:t>
            </w:r>
          </w:p>
          <w:p>
            <w:r>
              <w:rPr>
                <w:sz w:val="21"/>
              </w:rPr>
              <w:t>4</w:t>
            </w:r>
            <w:r>
              <w:rPr>
                <w:sz w:val="21"/>
              </w:rPr>
              <w:t>）</w:t>
            </w:r>
            <w:r>
              <w:rPr>
                <w:sz w:val="21"/>
              </w:rPr>
              <w:t>运营标准为：对车岗圩镇、省道</w:t>
            </w:r>
            <w:r>
              <w:rPr>
                <w:sz w:val="21"/>
              </w:rPr>
              <w:t>S276线沿线（水母塘至车岗镇与腰古镇交接处）、汕湛高速车岗出口至省道S276线红绿灯处、车岗大桥至猎人谷路段及开发区路段进行垃圾收集、清扫，每天清扫不少于两次。第一次在每天早上8:30前完成，第二次在每天晚上19:30前完成。对车岗圩镇范围路段实行常态化保洁，确保不少于3人在岗，保洁时间为早上7:00至晚上19:00，效果达到路面无明显垃圾等</w:t>
            </w:r>
            <w:r>
              <w:rPr>
                <w:sz w:val="21"/>
              </w:rPr>
              <w:t>。</w:t>
            </w:r>
          </w:p>
          <w:p>
            <w:r>
              <w:rPr>
                <w:sz w:val="21"/>
              </w:rPr>
              <w:t>5</w:t>
            </w:r>
            <w:r>
              <w:rPr>
                <w:sz w:val="21"/>
              </w:rPr>
              <w:t>）</w:t>
            </w:r>
            <w:r>
              <w:rPr>
                <w:sz w:val="21"/>
              </w:rPr>
              <w:t>圩镇主街道每季度冲洗不少于一次，做好事前通知及人员防护工作</w:t>
            </w:r>
            <w:r>
              <w:rPr>
                <w:sz w:val="21"/>
              </w:rPr>
              <w:t>。</w:t>
            </w:r>
          </w:p>
          <w:p>
            <w:r>
              <w:rPr>
                <w:sz w:val="21"/>
              </w:rPr>
              <w:t>6</w:t>
            </w:r>
            <w:r>
              <w:rPr>
                <w:sz w:val="21"/>
              </w:rPr>
              <w:t>）</w:t>
            </w:r>
            <w:r>
              <w:rPr>
                <w:sz w:val="21"/>
              </w:rPr>
              <w:t>在垃圾运输过程中无垃圾扬、撒、拖挂和污水滴漏，垃圾车不得超高超载、挂包运输垃圾；保证垃圾收集点的整洁，定期清洗垃圾桶及</w:t>
            </w:r>
            <w:r>
              <w:rPr>
                <w:sz w:val="21"/>
              </w:rPr>
              <w:t>果皮箱</w:t>
            </w:r>
            <w:r>
              <w:rPr>
                <w:sz w:val="21"/>
              </w:rPr>
              <w:t>，</w:t>
            </w:r>
            <w:r>
              <w:rPr>
                <w:sz w:val="21"/>
              </w:rPr>
              <w:t>保持垃圾桶及果皮箱外观整洁干净。</w:t>
            </w:r>
          </w:p>
          <w:p>
            <w:r>
              <w:rPr>
                <w:sz w:val="21"/>
              </w:rPr>
              <w:t>7）</w:t>
            </w:r>
            <w:r>
              <w:rPr>
                <w:sz w:val="21"/>
              </w:rPr>
              <w:t>司机在运输垃圾时不占道，要遵守道路交通规则，礼让行车，注意行人安全</w:t>
            </w:r>
            <w:r>
              <w:rPr>
                <w:sz w:val="21"/>
              </w:rPr>
              <w:t>。</w:t>
            </w:r>
          </w:p>
          <w:p>
            <w:r>
              <w:rPr>
                <w:sz w:val="21"/>
              </w:rPr>
              <w:t>8）</w:t>
            </w:r>
            <w:r>
              <w:rPr>
                <w:sz w:val="21"/>
              </w:rPr>
              <w:t>圩镇范围内公厕每日清扫不少于两次，确保下水道畅通，地面无积水，无异味；每周消毒不少于两次。</w:t>
            </w:r>
          </w:p>
          <w:p>
            <w:r>
              <w:rPr>
                <w:sz w:val="21"/>
              </w:rPr>
              <w:t>9）</w:t>
            </w:r>
            <w:r>
              <w:rPr>
                <w:sz w:val="21"/>
              </w:rPr>
              <w:t>圩镇及省道路段周边花圃根据植物生长需求进行浇水及日常维护修剪，确保无大面积枯萎。</w:t>
            </w:r>
          </w:p>
          <w:p>
            <w:r>
              <w:rPr>
                <w:sz w:val="21"/>
              </w:rPr>
              <w:t>10）</w:t>
            </w:r>
            <w:r>
              <w:rPr>
                <w:sz w:val="21"/>
              </w:rPr>
              <w:t>圩镇范围内支流无明显漂浮物。</w:t>
            </w:r>
          </w:p>
        </w:tc>
      </w:tr>
      <w:tr>
        <w:tc>
          <w:tcPr>
            <w:tcW w:type="dxa" w:w="2076"/>
          </w:tcPr>
          <w:p/>
        </w:tc>
        <w:tc>
          <w:tcPr>
            <w:tcW w:type="dxa" w:w="415"/>
          </w:tcPr>
          <w:p>
            <w:r>
              <w:rPr/>
              <w:t>3</w:t>
            </w:r>
          </w:p>
        </w:tc>
        <w:tc>
          <w:tcPr>
            <w:tcW w:type="dxa" w:w="5814"/>
          </w:tcPr>
          <w:p>
            <w:r>
              <w:rPr>
                <w:b/>
                <w:sz w:val="22"/>
              </w:rPr>
              <w:t>（</w:t>
            </w:r>
            <w:r>
              <w:rPr>
                <w:b/>
                <w:sz w:val="22"/>
              </w:rPr>
              <w:t>3</w:t>
            </w:r>
            <w:r>
              <w:rPr>
                <w:b/>
                <w:sz w:val="22"/>
              </w:rPr>
              <w:t>）保洁员要求</w:t>
            </w:r>
          </w:p>
          <w:p>
            <w:r>
              <w:rPr>
                <w:sz w:val="21"/>
              </w:rPr>
              <w:t>1</w:t>
            </w:r>
            <w:r>
              <w:rPr>
                <w:sz w:val="21"/>
              </w:rPr>
              <w:t>）</w:t>
            </w:r>
            <w:r>
              <w:rPr>
                <w:sz w:val="21"/>
              </w:rPr>
              <w:t>保洁员上班必须穿工作服加反光背心或反光衣。</w:t>
            </w:r>
          </w:p>
          <w:p>
            <w:r>
              <w:rPr>
                <w:sz w:val="21"/>
              </w:rPr>
              <w:t>2</w:t>
            </w:r>
            <w:r>
              <w:rPr>
                <w:sz w:val="21"/>
              </w:rPr>
              <w:t>）</w:t>
            </w:r>
            <w:r>
              <w:rPr>
                <w:sz w:val="21"/>
              </w:rPr>
              <w:t>保洁员要根据路段的人、车流情况，合理安排作业时间和方式，主动避开行人和车流高峰期，以免发生意外。</w:t>
            </w:r>
          </w:p>
          <w:p>
            <w:r>
              <w:rPr>
                <w:sz w:val="21"/>
              </w:rPr>
              <w:t>3</w:t>
            </w:r>
            <w:r>
              <w:rPr>
                <w:sz w:val="21"/>
              </w:rPr>
              <w:t>）</w:t>
            </w:r>
            <w:r>
              <w:rPr>
                <w:sz w:val="21"/>
              </w:rPr>
              <w:t>保洁员要对违规投放垃圾、随处丢弃废弃物等不良行为进行制止，并对随意丢垃圾的人员进行劝导，讲解保洁制度。</w:t>
            </w:r>
          </w:p>
          <w:p>
            <w:r>
              <w:rPr>
                <w:sz w:val="21"/>
              </w:rPr>
              <w:t>4）</w:t>
            </w:r>
            <w:r>
              <w:rPr>
                <w:sz w:val="21"/>
              </w:rPr>
              <w:t>保洁员要做到勤走动、勤清理，不聚堆、不坐岗、不离岗、不迟到早退。</w:t>
            </w:r>
          </w:p>
          <w:p>
            <w:r>
              <w:rPr>
                <w:sz w:val="21"/>
              </w:rPr>
              <w:t>5）</w:t>
            </w:r>
            <w:r>
              <w:rPr>
                <w:sz w:val="21"/>
              </w:rPr>
              <w:t>保洁员须保持沟通方式顺畅，积极配合镇组织的环境整治突击活动，努力完成各项工作任务。</w:t>
            </w:r>
          </w:p>
          <w:p>
            <w:r>
              <w:rPr>
                <w:sz w:val="21"/>
              </w:rPr>
              <w:t>6）</w:t>
            </w:r>
            <w:r>
              <w:rPr>
                <w:sz w:val="21"/>
              </w:rPr>
              <w:t>保洁员必须服从管理，要遵守工作时间和请、销假制度；因病或因事外出暂不能工作时，需向采购人请假，并安排好他人接替，否则按自行离岗处理；如遇特殊情况需加班的必须服从安排。</w:t>
            </w:r>
          </w:p>
        </w:tc>
      </w:tr>
      <w:tr>
        <w:tc>
          <w:tcPr>
            <w:tcW w:type="dxa" w:w="2076"/>
          </w:tcPr>
          <w:p/>
        </w:tc>
        <w:tc>
          <w:tcPr>
            <w:tcW w:type="dxa" w:w="415"/>
          </w:tcPr>
          <w:p>
            <w:r>
              <w:rPr/>
              <w:t>4</w:t>
            </w:r>
          </w:p>
        </w:tc>
        <w:tc>
          <w:tcPr>
            <w:tcW w:type="dxa" w:w="5814"/>
          </w:tcPr>
          <w:p>
            <w:r>
              <w:rPr>
                <w:b/>
                <w:sz w:val="22"/>
              </w:rPr>
              <w:t>（</w:t>
            </w:r>
            <w:r>
              <w:rPr>
                <w:b/>
                <w:sz w:val="22"/>
              </w:rPr>
              <w:t>4</w:t>
            </w:r>
            <w:r>
              <w:rPr>
                <w:b/>
                <w:sz w:val="22"/>
              </w:rPr>
              <w:t>）安全生产要求</w:t>
            </w:r>
          </w:p>
          <w:p>
            <w:r>
              <w:rPr>
                <w:sz w:val="21"/>
              </w:rPr>
              <w:t>1）成交供应商应建立健全的安全生产管理制度，落实安全生产责任人，加强安全培训与教育，切实执行安全生产规程。</w:t>
            </w:r>
          </w:p>
          <w:p>
            <w:r>
              <w:rPr>
                <w:sz w:val="21"/>
              </w:rPr>
              <w:t>2）作业车辆、设备由专人管理，相关专业操作人员须持证上岗，按规定操作。每日做好设备维护、作业登记工作，检查车辆密封构件，确保设备性能完好，车辆安全运行。</w:t>
            </w:r>
          </w:p>
          <w:p>
            <w:r>
              <w:rPr>
                <w:sz w:val="21"/>
              </w:rPr>
              <w:t>3</w:t>
            </w:r>
            <w:r>
              <w:rPr>
                <w:sz w:val="21"/>
              </w:rPr>
              <w:t>）突发事件、重大事件应急预案：根据不同事件，成交供应商应分别制定应急预案。当发生突发事件、重大事件时，要快速反应、准确判断、合理调度、有效处置。对安全生产和作业质量突发事件、临时性应急任务，能够做到最大限度的减少人员和财产的损失，尽可能的降低不良的社会影响，使应急任务达到良好的完成效果。</w:t>
            </w:r>
          </w:p>
        </w:tc>
      </w:tr>
      <w:tr>
        <w:tc>
          <w:tcPr>
            <w:tcW w:type="dxa" w:w="2076"/>
          </w:tcPr>
          <w:p/>
        </w:tc>
        <w:tc>
          <w:tcPr>
            <w:tcW w:type="dxa" w:w="415"/>
          </w:tcPr>
          <w:p>
            <w:r>
              <w:rPr/>
              <w:t>5</w:t>
            </w:r>
          </w:p>
        </w:tc>
        <w:tc>
          <w:tcPr>
            <w:tcW w:type="dxa" w:w="5814"/>
          </w:tcPr>
          <w:p>
            <w:r>
              <w:rPr>
                <w:b/>
                <w:sz w:val="22"/>
              </w:rPr>
              <w:t>（</w:t>
            </w:r>
            <w:r>
              <w:rPr>
                <w:b/>
                <w:sz w:val="22"/>
              </w:rPr>
              <w:t>5</w:t>
            </w:r>
            <w:r>
              <w:rPr>
                <w:b/>
                <w:sz w:val="22"/>
              </w:rPr>
              <w:t>）作业人员劳动保障要求</w:t>
            </w:r>
          </w:p>
          <w:p>
            <w:r>
              <w:rPr>
                <w:sz w:val="21"/>
              </w:rPr>
              <w:t>1</w:t>
            </w:r>
            <w:r>
              <w:rPr>
                <w:sz w:val="21"/>
              </w:rPr>
              <w:t>）</w:t>
            </w:r>
            <w:r>
              <w:rPr>
                <w:sz w:val="21"/>
              </w:rPr>
              <w:t>每名保洁员每月补助资金须符合当年当地要求，不得拖欠保洁员工资。</w:t>
            </w:r>
          </w:p>
          <w:p>
            <w:r>
              <w:rPr>
                <w:sz w:val="21"/>
              </w:rPr>
              <w:t>2</w:t>
            </w:r>
            <w:r>
              <w:rPr>
                <w:sz w:val="21"/>
              </w:rPr>
              <w:t>）</w:t>
            </w:r>
            <w:r>
              <w:rPr>
                <w:sz w:val="21"/>
              </w:rPr>
              <w:t>成交供应商必须依据《中华人民共和国劳动法》保障保洁工人正常休息时间，确需延长劳动时间的，应当按规定发放加班工资、节假日加班工资。</w:t>
            </w:r>
          </w:p>
          <w:p>
            <w:r>
              <w:rPr>
                <w:sz w:val="21"/>
              </w:rPr>
              <w:t>3</w:t>
            </w:r>
            <w:r>
              <w:rPr>
                <w:sz w:val="21"/>
              </w:rPr>
              <w:t>）</w:t>
            </w:r>
            <w:r>
              <w:rPr>
                <w:sz w:val="21"/>
              </w:rPr>
              <w:t>成交供应商对拟派本项目的所有工作人员的安全负责，对作业人员必须严格管理，对他们的行为负全责，如在服务期内发生劳资纠纷、意外事故（生病、伤亡事故）或违反劳动合同规定、触犯国家法律等情况，成交供应商应承担全部责任及因事故产生的一切费用。</w:t>
            </w:r>
          </w:p>
        </w:tc>
      </w:tr>
      <w:tr>
        <w:tc>
          <w:tcPr>
            <w:tcW w:type="dxa" w:w="2076"/>
          </w:tcPr>
          <w:p/>
        </w:tc>
        <w:tc>
          <w:tcPr>
            <w:tcW w:type="dxa" w:w="415"/>
          </w:tcPr>
          <w:p>
            <w:r>
              <w:rPr/>
              <w:t>6</w:t>
            </w:r>
          </w:p>
        </w:tc>
        <w:tc>
          <w:tcPr>
            <w:tcW w:type="dxa" w:w="5814"/>
          </w:tcPr>
          <w:p>
            <w:r>
              <w:rPr>
                <w:b/>
                <w:sz w:val="24"/>
              </w:rPr>
              <w:t>（</w:t>
            </w:r>
            <w:r>
              <w:rPr>
                <w:b/>
                <w:sz w:val="24"/>
              </w:rPr>
              <w:t>6</w:t>
            </w:r>
            <w:r>
              <w:rPr>
                <w:b/>
                <w:sz w:val="24"/>
              </w:rPr>
              <w:t>）</w:t>
            </w:r>
            <w:r>
              <w:rPr>
                <w:b/>
                <w:sz w:val="24"/>
              </w:rPr>
              <w:t>附件</w:t>
            </w:r>
            <w:r>
              <w:rPr>
                <w:b/>
                <w:sz w:val="24"/>
              </w:rPr>
              <w:t>1</w:t>
            </w:r>
            <w:r>
              <w:rPr>
                <w:b/>
                <w:sz w:val="24"/>
              </w:rPr>
              <w:t>：</w:t>
            </w:r>
          </w:p>
          <w:tbl>
            <w:tblPr>
              <w:tblBorders>
                <w:top w:val="none" w:color="000000" w:sz="4"/>
                <w:left w:val="none" w:color="000000" w:sz="4"/>
                <w:bottom w:val="none" w:color="000000" w:sz="4"/>
                <w:right w:val="none" w:color="000000" w:sz="4"/>
                <w:insideH w:val="none"/>
                <w:insideV w:val="none"/>
              </w:tblBorders>
            </w:tblPr>
            <w:tblGrid>
              <w:gridCol w:w="350"/>
              <w:gridCol w:w="607"/>
              <w:gridCol w:w="1668"/>
              <w:gridCol w:w="2344"/>
              <w:gridCol w:w="377"/>
              <w:gridCol w:w="235"/>
            </w:tblGrid>
            <w:tr>
              <w:tc>
                <w:tcPr>
                  <w:tcW w:type="dxa" w:w="5346"/>
                  <w:gridSpan w:val="5"/>
                  <w:tcBorders>
                    <w:top w:val="none" w:color="000000" w:sz="4"/>
                    <w:left w:val="none" w:color="000000" w:sz="4"/>
                    <w:bottom w:val="single" w:color="000000" w:sz="4"/>
                    <w:right w:val="none" w:color="000000" w:sz="4"/>
                  </w:tcBorders>
                  <w:vAlign w:val="top"/>
                </w:tcPr>
                <w:p>
                  <w:pPr>
                    <w:jc w:val="center"/>
                  </w:pPr>
                  <w:r>
                    <w:rPr>
                      <w:b/>
                      <w:sz w:val="24"/>
                    </w:rPr>
                    <w:t>车岗镇圩镇保洁项目考评细则</w:t>
                  </w:r>
                </w:p>
              </w:tc>
              <w:tc>
                <w:tcPr>
                  <w:tcW w:type="dxa" w:w="235"/>
                  <w:tcBorders>
                    <w:top w:val="none" w:color="000000" w:sz="4"/>
                    <w:left w:val="none" w:color="000000" w:sz="4"/>
                    <w:bottom w:val="single" w:color="000000" w:sz="4"/>
                    <w:right w:val="none" w:color="000000" w:sz="4"/>
                  </w:tcBorders>
                  <w:vAlign w:val="top"/>
                </w:tcPr>
                <w:p>
                  <w:pPr>
                    <w:jc w:val="center"/>
                  </w:pPr>
                </w:p>
              </w:tc>
            </w:tr>
            <w:tr>
              <w:tc>
                <w:tcPr>
                  <w:tcW w:type="dxa" w:w="350"/>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607"/>
                  <w:tcBorders>
                    <w:top w:val="none" w:color="000000" w:sz="4"/>
                    <w:left w:val="single" w:color="000000" w:sz="4"/>
                    <w:bottom w:val="single" w:color="000000" w:sz="4"/>
                    <w:right w:val="single" w:color="000000" w:sz="4"/>
                  </w:tcBorders>
                  <w:vAlign w:val="top"/>
                </w:tcPr>
                <w:p>
                  <w:pPr>
                    <w:jc w:val="center"/>
                  </w:pPr>
                  <w:r>
                    <w:rPr>
                      <w:b/>
                      <w:sz w:val="21"/>
                    </w:rPr>
                    <w:t>项目</w:t>
                  </w:r>
                </w:p>
              </w:tc>
              <w:tc>
                <w:tcPr>
                  <w:tcW w:type="dxa" w:w="1668"/>
                  <w:tcBorders>
                    <w:top w:val="single" w:color="000000" w:sz="4"/>
                    <w:left w:val="single" w:color="000000" w:sz="4"/>
                    <w:bottom w:val="single" w:color="000000" w:sz="4"/>
                    <w:right w:val="single" w:color="000000" w:sz="4"/>
                  </w:tcBorders>
                  <w:vAlign w:val="top"/>
                </w:tcPr>
                <w:p>
                  <w:pPr>
                    <w:jc w:val="center"/>
                  </w:pPr>
                  <w:r>
                    <w:rPr>
                      <w:b/>
                      <w:sz w:val="21"/>
                    </w:rPr>
                    <w:t>考核内容和要求</w:t>
                  </w:r>
                </w:p>
              </w:tc>
              <w:tc>
                <w:tcPr>
                  <w:tcW w:type="dxa" w:w="2344"/>
                  <w:tcBorders>
                    <w:top w:val="single" w:color="000000" w:sz="4"/>
                    <w:left w:val="single" w:color="000000" w:sz="4"/>
                    <w:bottom w:val="single" w:color="000000" w:sz="4"/>
                    <w:right w:val="single" w:color="000000" w:sz="4"/>
                  </w:tcBorders>
                  <w:vAlign w:val="top"/>
                </w:tcPr>
                <w:p>
                  <w:pPr>
                    <w:jc w:val="center"/>
                  </w:pPr>
                  <w:r>
                    <w:rPr>
                      <w:b/>
                      <w:sz w:val="21"/>
                    </w:rPr>
                    <w:t>扣分标准</w:t>
                  </w:r>
                </w:p>
              </w:tc>
              <w:tc>
                <w:tcPr>
                  <w:tcW w:type="dxa" w:w="377"/>
                  <w:tcBorders>
                    <w:top w:val="single" w:color="000000" w:sz="4"/>
                    <w:left w:val="single" w:color="000000" w:sz="4"/>
                    <w:bottom w:val="single" w:color="000000" w:sz="4"/>
                    <w:right w:val="single" w:color="000000" w:sz="4"/>
                  </w:tcBorders>
                  <w:vAlign w:val="top"/>
                </w:tcPr>
                <w:p>
                  <w:pPr>
                    <w:jc w:val="center"/>
                  </w:pPr>
                  <w:r>
                    <w:rPr>
                      <w:b/>
                      <w:sz w:val="21"/>
                    </w:rPr>
                    <w:t>分值</w:t>
                  </w:r>
                </w:p>
              </w:tc>
              <w:tc>
                <w:tcPr>
                  <w:tcW w:type="dxa" w:w="235"/>
                  <w:tcBorders>
                    <w:top w:val="single" w:color="000000" w:sz="4"/>
                    <w:left w:val="single" w:color="000000" w:sz="4"/>
                    <w:bottom w:val="single" w:color="000000" w:sz="4"/>
                    <w:right w:val="single" w:color="000000" w:sz="4"/>
                  </w:tcBorders>
                  <w:vAlign w:val="top"/>
                </w:tcPr>
                <w:p>
                  <w:pPr>
                    <w:jc w:val="center"/>
                  </w:pPr>
                  <w:r>
                    <w:rPr>
                      <w:b/>
                      <w:sz w:val="21"/>
                    </w:rPr>
                    <w:t>得分</w:t>
                  </w:r>
                </w:p>
              </w:tc>
            </w:tr>
            <w:tr>
              <w:tc>
                <w:tcPr>
                  <w:tcW w:type="dxa" w:w="350"/>
                  <w:vMerge w:val="restart"/>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07"/>
                  <w:vMerge w:val="restart"/>
                  <w:tcBorders>
                    <w:top w:val="none" w:color="000000" w:sz="4"/>
                    <w:left w:val="single" w:color="000000" w:sz="4"/>
                    <w:bottom w:val="single" w:color="000000" w:sz="4"/>
                    <w:right w:val="single" w:color="000000" w:sz="4"/>
                  </w:tcBorders>
                  <w:vAlign w:val="top"/>
                </w:tcPr>
                <w:p>
                  <w:pPr>
                    <w:jc w:val="center"/>
                  </w:pPr>
                  <w:r>
                    <w:rPr>
                      <w:sz w:val="21"/>
                    </w:rPr>
                    <w:t>作业管理</w:t>
                  </w:r>
                </w:p>
                <w:p>
                  <w:pPr>
                    <w:jc w:val="center"/>
                  </w:pPr>
                  <w:r>
                    <w:rPr>
                      <w:sz w:val="21"/>
                    </w:rPr>
                    <w:t>（</w:t>
                  </w:r>
                  <w:r>
                    <w:rPr>
                      <w:sz w:val="21"/>
                    </w:rPr>
                    <w:t>8分）</w:t>
                  </w:r>
                </w:p>
              </w:tc>
              <w:tc>
                <w:tcPr>
                  <w:tcW w:type="dxa" w:w="1668"/>
                  <w:vMerge w:val="restart"/>
                  <w:tcBorders>
                    <w:top w:val="none" w:color="000000" w:sz="4"/>
                    <w:left w:val="single" w:color="000000" w:sz="4"/>
                    <w:bottom w:val="single" w:color="000000" w:sz="4"/>
                    <w:right w:val="single" w:color="000000" w:sz="4"/>
                  </w:tcBorders>
                  <w:vAlign w:val="top"/>
                </w:tcPr>
                <w:p>
                  <w:r>
                    <w:rPr>
                      <w:sz w:val="21"/>
                    </w:rPr>
                    <w:t>1、</w:t>
                  </w:r>
                  <w:r>
                    <w:rPr>
                      <w:sz w:val="21"/>
                    </w:rPr>
                    <w:t>环卫作业人员严格遵守《车岗镇圩镇保洁实施方案》及采购文件规定的作业时间及要求；</w:t>
                  </w:r>
                </w:p>
                <w:p>
                  <w:r>
                    <w:rPr>
                      <w:sz w:val="21"/>
                    </w:rPr>
                    <w:t>2、</w:t>
                  </w:r>
                  <w:r>
                    <w:rPr>
                      <w:sz w:val="21"/>
                    </w:rPr>
                    <w:t>清扫作业和保洁作业合理衔接、无空缺，工作时间不离岗、不串岗；</w:t>
                  </w:r>
                </w:p>
                <w:p>
                  <w:r>
                    <w:rPr>
                      <w:sz w:val="21"/>
                    </w:rPr>
                    <w:t>3、</w:t>
                  </w:r>
                  <w:r>
                    <w:rPr>
                      <w:sz w:val="21"/>
                    </w:rPr>
                    <w:t>保洁员身着工作服进行作业，佩带安全标志；</w:t>
                  </w:r>
                </w:p>
                <w:p>
                  <w:r>
                    <w:rPr>
                      <w:sz w:val="21"/>
                    </w:rPr>
                    <w:t>4、</w:t>
                  </w:r>
                  <w:r>
                    <w:rPr>
                      <w:sz w:val="21"/>
                    </w:rPr>
                    <w:t>制定落实管理制度及操作标准；</w:t>
                  </w:r>
                </w:p>
                <w:p>
                  <w:r>
                    <w:rPr>
                      <w:sz w:val="21"/>
                    </w:rPr>
                    <w:t>5、成交供应商的管理及作业人员必须服从车岗镇政府的指导、督查和考核。</w:t>
                  </w:r>
                </w:p>
              </w:tc>
              <w:tc>
                <w:tcPr>
                  <w:tcW w:type="dxa" w:w="2344"/>
                  <w:tcBorders>
                    <w:top w:val="none" w:color="000000" w:sz="4"/>
                    <w:left w:val="single" w:color="000000" w:sz="4"/>
                    <w:bottom w:val="single" w:color="000000" w:sz="4"/>
                    <w:right w:val="single" w:color="000000" w:sz="4"/>
                  </w:tcBorders>
                  <w:vAlign w:val="top"/>
                </w:tcPr>
                <w:p>
                  <w:r>
                    <w:rPr>
                      <w:sz w:val="21"/>
                    </w:rPr>
                    <w:t>1、在规定的作业时间内无人上岗或配员不够的，每人次扣0.5分；发现离岗、串岗的，每人次扣0.5分；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2、未制定管理制度、操作标准的，扣2分；已制定管理制度及操作标准但未执行落实的，扣1分；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3、保洁员未穿保洁工作服或未佩带安全标志的，每人次扣0.5分；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4、无安全生产会议及培训（每月一次或以上且要有相关资料），运输过程中存在违章行为的，扣1分；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5、不服从车岗镇政府的指导、督查和考核，</w:t>
                  </w:r>
                  <w:r>
                    <w:rPr>
                      <w:sz w:val="21"/>
                    </w:rPr>
                    <w:t>每次</w:t>
                  </w:r>
                  <w:r>
                    <w:rPr>
                      <w:sz w:val="21"/>
                    </w:rPr>
                    <w:t>扣</w:t>
                  </w:r>
                  <w:r>
                    <w:rPr>
                      <w:sz w:val="21"/>
                    </w:rPr>
                    <w:t>2分。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val="restart"/>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07"/>
                  <w:vMerge w:val="restart"/>
                  <w:tcBorders>
                    <w:top w:val="none" w:color="000000" w:sz="4"/>
                    <w:left w:val="single" w:color="000000" w:sz="4"/>
                    <w:bottom w:val="single" w:color="000000" w:sz="4"/>
                    <w:right w:val="single" w:color="000000" w:sz="4"/>
                  </w:tcBorders>
                  <w:vAlign w:val="top"/>
                </w:tcPr>
                <w:p>
                  <w:pPr>
                    <w:jc w:val="center"/>
                  </w:pPr>
                  <w:r>
                    <w:rPr>
                      <w:sz w:val="21"/>
                    </w:rPr>
                    <w:t>清扫保洁质量管理</w:t>
                  </w:r>
                  <w:r>
                    <w:rPr>
                      <w:sz w:val="21"/>
                    </w:rPr>
                    <w:t>及应急响应</w:t>
                  </w:r>
                </w:p>
                <w:p>
                  <w:pPr>
                    <w:jc w:val="center"/>
                  </w:pPr>
                  <w:r>
                    <w:rPr>
                      <w:sz w:val="21"/>
                    </w:rPr>
                    <w:t>（</w:t>
                  </w:r>
                  <w:r>
                    <w:rPr>
                      <w:sz w:val="21"/>
                    </w:rPr>
                    <w:t>30</w:t>
                  </w:r>
                  <w:r>
                    <w:rPr>
                      <w:sz w:val="21"/>
                    </w:rPr>
                    <w:t>分）</w:t>
                  </w:r>
                </w:p>
              </w:tc>
              <w:tc>
                <w:tcPr>
                  <w:tcW w:type="dxa" w:w="1668"/>
                  <w:vMerge w:val="restart"/>
                  <w:tcBorders>
                    <w:top w:val="none" w:color="000000" w:sz="4"/>
                    <w:left w:val="single" w:color="000000" w:sz="4"/>
                    <w:bottom w:val="single" w:color="000000" w:sz="4"/>
                    <w:right w:val="single" w:color="000000" w:sz="4"/>
                  </w:tcBorders>
                  <w:vAlign w:val="top"/>
                </w:tcPr>
                <w:p>
                  <w:r>
                    <w:rPr>
                      <w:sz w:val="21"/>
                    </w:rPr>
                    <w:t>1</w:t>
                  </w:r>
                  <w:r>
                    <w:rPr>
                      <w:sz w:val="21"/>
                    </w:rPr>
                    <w:t>、</w:t>
                  </w:r>
                  <w:r>
                    <w:rPr>
                      <w:sz w:val="21"/>
                    </w:rPr>
                    <w:t>路面、人行道、路牙、路肩、绿化带、树穴干净整洁；</w:t>
                  </w:r>
                </w:p>
                <w:p>
                  <w:r>
                    <w:rPr>
                      <w:sz w:val="21"/>
                    </w:rPr>
                    <w:t>2</w:t>
                  </w:r>
                  <w:r>
                    <w:rPr>
                      <w:sz w:val="21"/>
                    </w:rPr>
                    <w:t>、雨水井口、下水道等整洁、通畅；</w:t>
                  </w:r>
                </w:p>
                <w:p>
                  <w:r>
                    <w:rPr>
                      <w:sz w:val="21"/>
                    </w:rPr>
                    <w:t>3</w:t>
                  </w:r>
                  <w:r>
                    <w:rPr>
                      <w:sz w:val="21"/>
                    </w:rPr>
                    <w:t>、雨后及时清理路面及低洼处淤泥、污水；</w:t>
                  </w:r>
                </w:p>
                <w:p>
                  <w:r>
                    <w:rPr>
                      <w:sz w:val="21"/>
                    </w:rPr>
                    <w:t>4</w:t>
                  </w:r>
                  <w:r>
                    <w:rPr>
                      <w:sz w:val="21"/>
                    </w:rPr>
                    <w:t>、人行道、门店前清扫时间自行安排，做到路见本色，无油污、痰迹、口香糖渣等污垢；</w:t>
                  </w:r>
                </w:p>
                <w:p>
                  <w:r>
                    <w:rPr>
                      <w:sz w:val="21"/>
                    </w:rPr>
                    <w:t>5</w:t>
                  </w:r>
                  <w:r>
                    <w:rPr>
                      <w:sz w:val="21"/>
                    </w:rPr>
                    <w:t>、渣土等道路污染要及时组织人员清扫，保证路面干净；</w:t>
                  </w:r>
                </w:p>
                <w:p>
                  <w:r>
                    <w:rPr>
                      <w:sz w:val="21"/>
                    </w:rPr>
                    <w:t>6</w:t>
                  </w:r>
                  <w:r>
                    <w:rPr>
                      <w:sz w:val="21"/>
                    </w:rPr>
                    <w:t>、合理安排作业时间；</w:t>
                  </w:r>
                </w:p>
                <w:p>
                  <w:r>
                    <w:rPr>
                      <w:sz w:val="21"/>
                    </w:rPr>
                    <w:t>7</w:t>
                  </w:r>
                  <w:r>
                    <w:rPr>
                      <w:sz w:val="21"/>
                    </w:rPr>
                    <w:t>、节假日、迎检及重大活动按照政府的要求，配合做好保洁工作</w:t>
                  </w:r>
                  <w:r>
                    <w:rPr>
                      <w:sz w:val="21"/>
                    </w:rPr>
                    <w:t>；</w:t>
                  </w:r>
                </w:p>
                <w:p>
                  <w:r>
                    <w:rPr>
                      <w:sz w:val="21"/>
                    </w:rPr>
                    <w:t>8、每遇节假日、迎检及重大活动时，必须及时接听电话，做好应急响应，确保圆满完成应急保洁任务。</w:t>
                  </w:r>
                </w:p>
              </w:tc>
              <w:tc>
                <w:tcPr>
                  <w:tcW w:type="dxa" w:w="2344"/>
                  <w:tcBorders>
                    <w:top w:val="none" w:color="000000" w:sz="4"/>
                    <w:left w:val="single" w:color="000000" w:sz="4"/>
                    <w:bottom w:val="single" w:color="000000" w:sz="4"/>
                    <w:right w:val="single" w:color="000000" w:sz="4"/>
                  </w:tcBorders>
                  <w:vAlign w:val="top"/>
                </w:tcPr>
                <w:p>
                  <w:r>
                    <w:rPr>
                      <w:sz w:val="21"/>
                    </w:rPr>
                    <w:t>1、路面有成片砂、石、泥土，1平方米以内扣0.5分，1平方米及以上不足10平方米扣1分，10平方米及以上扣2分；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2、路牙有明显青苔、杂草、沙尘、污泥的，5平方米以内的每处扣0.5分；5平方米及以上的每处扣1分；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3、路牙和隔离桩下有明显灰沙带，长度在10米以内的每处扣0.5分，长度在10米及以上的每处扣1分；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4、无及时清理绿化带、树穴及周边的烟头、杂物、砂石、泥土、垃圾等，不能做到随时保证绿地整洁，植被上有悬挂物的，每发现3处扣0.5分；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5、路面、巷道、田间地头有明显废弃物，路面、巷道50平方米以内果皮、烟头、塑料瓶等杂物5件及以上的，每处扣0.5分；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6、雨水井口、下水道有杂物覆盖，每发现一处扣0.5分；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7、日常路面污水积留没有及时清理，或雨后没有及时清理路面及低洼处淤泥、污水的，每次扣0.5分；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8、人行道、门店前路面污渍多，不见本色，每100平方米扣0.5分，不足100平方米按100平方米计算；</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9、人行道、巷道等路面有明显油污、痰迹、口香糖渣等污垢的，每发现一处扣0.5分；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10、道路污染未及时清理或清理不彻底的，每处扣1分；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11、除迎检等特殊情况外，晚上</w:t>
                  </w:r>
                  <w:r>
                    <w:rPr>
                      <w:sz w:val="21"/>
                    </w:rPr>
                    <w:t>19</w:t>
                  </w:r>
                  <w:r>
                    <w:rPr>
                      <w:sz w:val="21"/>
                    </w:rPr>
                    <w:t>:30之后仍在清扫的，每条路扣0.5分；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12、节假日、迎检及重大活动未按照政府的要求增加扫地次数的，每次扣1分</w:t>
                  </w:r>
                  <w:r>
                    <w:rPr>
                      <w:sz w:val="21"/>
                    </w:rPr>
                    <w:t>；</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13、如遇应急通知时，必须及时接听相关分管领导、主管部门工作人员电话，特殊情况必须在10分钟内回复，否则每次扣2分。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6</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val="restart"/>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07"/>
                  <w:vMerge w:val="restart"/>
                  <w:tcBorders>
                    <w:top w:val="none" w:color="000000" w:sz="4"/>
                    <w:left w:val="single" w:color="000000" w:sz="4"/>
                    <w:bottom w:val="single" w:color="000000" w:sz="4"/>
                    <w:right w:val="single" w:color="000000" w:sz="4"/>
                  </w:tcBorders>
                  <w:vAlign w:val="top"/>
                </w:tcPr>
                <w:p>
                  <w:pPr>
                    <w:jc w:val="center"/>
                  </w:pPr>
                  <w:r>
                    <w:rPr>
                      <w:sz w:val="21"/>
                    </w:rPr>
                    <w:t>垃圾中转站管理</w:t>
                  </w:r>
                </w:p>
                <w:p>
                  <w:pPr>
                    <w:jc w:val="center"/>
                  </w:pPr>
                  <w:r>
                    <w:rPr>
                      <w:sz w:val="21"/>
                    </w:rPr>
                    <w:t>（</w:t>
                  </w:r>
                  <w:r>
                    <w:rPr>
                      <w:sz w:val="21"/>
                    </w:rPr>
                    <w:t>18分）</w:t>
                  </w:r>
                </w:p>
              </w:tc>
              <w:tc>
                <w:tcPr>
                  <w:tcW w:type="dxa" w:w="1668"/>
                  <w:vMerge w:val="restart"/>
                  <w:tcBorders>
                    <w:top w:val="none" w:color="000000" w:sz="4"/>
                    <w:left w:val="single" w:color="000000" w:sz="4"/>
                    <w:bottom w:val="single" w:color="000000" w:sz="4"/>
                    <w:right w:val="single" w:color="000000" w:sz="4"/>
                  </w:tcBorders>
                  <w:vAlign w:val="top"/>
                </w:tcPr>
                <w:p>
                  <w:r>
                    <w:rPr>
                      <w:sz w:val="21"/>
                    </w:rPr>
                    <w:t>1、</w:t>
                  </w:r>
                  <w:r>
                    <w:rPr>
                      <w:sz w:val="21"/>
                    </w:rPr>
                    <w:t>垃圾中转站（环卫工作站）运行正常，站内站外干净整洁，管理有序；</w:t>
                  </w:r>
                </w:p>
                <w:p>
                  <w:r>
                    <w:rPr>
                      <w:sz w:val="21"/>
                    </w:rPr>
                    <w:t>2、</w:t>
                  </w:r>
                  <w:r>
                    <w:rPr>
                      <w:sz w:val="21"/>
                    </w:rPr>
                    <w:t>运输车辆手续齐全，车身整洁，维护良好；</w:t>
                  </w:r>
                </w:p>
                <w:p>
                  <w:r>
                    <w:rPr>
                      <w:sz w:val="21"/>
                    </w:rPr>
                    <w:t>3、做好消毒、除臭、灭虫害工作；</w:t>
                  </w:r>
                </w:p>
                <w:p>
                  <w:r>
                    <w:rPr>
                      <w:sz w:val="21"/>
                    </w:rPr>
                    <w:t>4、站内规范用水用电行为；</w:t>
                  </w:r>
                </w:p>
                <w:p>
                  <w:r>
                    <w:rPr>
                      <w:sz w:val="21"/>
                    </w:rPr>
                    <w:t>5、站内不允许饲养各种动物，不允许从事各种违法行为；</w:t>
                  </w:r>
                </w:p>
                <w:p>
                  <w:r>
                    <w:rPr>
                      <w:sz w:val="21"/>
                    </w:rPr>
                    <w:t>6、站内不允许有拾荒行为；</w:t>
                  </w:r>
                </w:p>
                <w:p>
                  <w:r>
                    <w:rPr>
                      <w:sz w:val="21"/>
                    </w:rPr>
                    <w:t>7、完善相应的台账记录。</w:t>
                  </w:r>
                </w:p>
              </w:tc>
              <w:tc>
                <w:tcPr>
                  <w:tcW w:type="dxa" w:w="2344"/>
                  <w:tcBorders>
                    <w:top w:val="none" w:color="000000" w:sz="4"/>
                    <w:left w:val="single" w:color="000000" w:sz="4"/>
                    <w:bottom w:val="single" w:color="000000" w:sz="4"/>
                    <w:right w:val="single" w:color="000000" w:sz="4"/>
                  </w:tcBorders>
                  <w:vAlign w:val="top"/>
                </w:tcPr>
                <w:p>
                  <w:r>
                    <w:rPr>
                      <w:sz w:val="21"/>
                    </w:rPr>
                    <w:t>1、管理人员不足，服务时间内无人值班，清洁配套物品欠缺的，扣2分；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2、中转站或工作站设施设备非因不可抗力因素导致未运转或不能运转的，每次扣1分；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3、中转站定期打扫，要保持室内外卫生整洁，下水道保持畅通，池内积水及时抽排，不符合要求的扣2分；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4、站内乱堆放杂物、秩序混乱、墙面有污垢，每发现1次扣0.5分；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5、运输车辆手续齐全，垃圾运输车应经常冲洗，保持车身清洁。车容不整洁的，或车辆出现问题未能及时维修的，每发现一次扣0.5分；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6、高温季节要打药灭蝇和喷洒空气清洁剂，保持中转站周围无异味，不按规定消毒、除臭的，每次扣1分；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7、站内有乱拉水电现象，用电欠安全规范或浪费水电的，扣1分；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8、在站内饲养动物，或有从事违法行为的，每项扣1分；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9、工作人员在场所内有拾荒行为或允许外来人员进场拾荒的，扣2分；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10、无完善消毒喷杀、运行登记、资源回收等相关台账的，扣2分。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val="restart"/>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07"/>
                  <w:vMerge w:val="restart"/>
                  <w:tcBorders>
                    <w:top w:val="none" w:color="000000" w:sz="4"/>
                    <w:left w:val="single" w:color="000000" w:sz="4"/>
                    <w:bottom w:val="single" w:color="000000" w:sz="4"/>
                    <w:right w:val="single" w:color="000000" w:sz="4"/>
                  </w:tcBorders>
                  <w:vAlign w:val="top"/>
                </w:tcPr>
                <w:p>
                  <w:pPr>
                    <w:jc w:val="center"/>
                  </w:pPr>
                  <w:r>
                    <w:rPr>
                      <w:sz w:val="21"/>
                    </w:rPr>
                    <w:t>垃圾收集清运</w:t>
                  </w:r>
                </w:p>
                <w:p>
                  <w:pPr>
                    <w:jc w:val="center"/>
                  </w:pPr>
                  <w:r>
                    <w:rPr>
                      <w:sz w:val="21"/>
                    </w:rPr>
                    <w:t>（</w:t>
                  </w:r>
                  <w:r>
                    <w:rPr>
                      <w:sz w:val="21"/>
                    </w:rPr>
                    <w:t>12分）</w:t>
                  </w:r>
                </w:p>
              </w:tc>
              <w:tc>
                <w:tcPr>
                  <w:tcW w:type="dxa" w:w="1668"/>
                  <w:vMerge w:val="restart"/>
                  <w:tcBorders>
                    <w:top w:val="none" w:color="000000" w:sz="4"/>
                    <w:left w:val="single" w:color="000000" w:sz="4"/>
                    <w:bottom w:val="single" w:color="000000" w:sz="4"/>
                    <w:right w:val="single" w:color="000000" w:sz="4"/>
                  </w:tcBorders>
                  <w:vAlign w:val="top"/>
                </w:tcPr>
                <w:p>
                  <w:r>
                    <w:rPr>
                      <w:sz w:val="21"/>
                    </w:rPr>
                    <w:t>1、日产的垃圾必须保证日产日清，不留垃圾过夜；</w:t>
                  </w:r>
                </w:p>
                <w:p>
                  <w:r>
                    <w:rPr>
                      <w:sz w:val="21"/>
                    </w:rPr>
                    <w:t>2、沿途无污水滴漏、无撒落垃圾、无超高超载；</w:t>
                  </w:r>
                </w:p>
                <w:p>
                  <w:r>
                    <w:rPr>
                      <w:sz w:val="21"/>
                    </w:rPr>
                    <w:t>3、司机在运输垃圾时不占道，要遵守道路交通规则，礼让行车，注意行人安全。</w:t>
                  </w:r>
                </w:p>
              </w:tc>
              <w:tc>
                <w:tcPr>
                  <w:tcW w:type="dxa" w:w="2344"/>
                  <w:tcBorders>
                    <w:top w:val="none" w:color="000000" w:sz="4"/>
                    <w:left w:val="single" w:color="000000" w:sz="4"/>
                    <w:bottom w:val="single" w:color="000000" w:sz="4"/>
                    <w:right w:val="single" w:color="000000" w:sz="4"/>
                  </w:tcBorders>
                  <w:vAlign w:val="top"/>
                </w:tcPr>
                <w:p>
                  <w:r>
                    <w:rPr>
                      <w:sz w:val="21"/>
                    </w:rPr>
                    <w:t>1、将收集点的生活垃圾及时清运，装车密闭运送至车岗镇垃圾中转站进行处理，垃圾实行日产日清。未能按时间规定及时收运转运站以及收集点垃圾的，每发现一处未能及时清运的，扣0.5分；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2、村庄、路面、田间地头成堆垃圾没有及时清理，每处堆积1立方米及以内扣0.5分，堆积超过1立方米扣1分；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3、运输垃圾车辆应覆盖，不得遗撒，不得渗液，对抛洒的垃圾或滴漏的渗液，司乘人员未及时清除的，每发现1次扣0.5分；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4、垃圾车不得超高超载、挂包运输垃圾，每发现1次扣0.5分；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5、清运过程严禁焚烧垃圾，每发现一起扣1分；不按规定地点倾倒垃圾的，每次扣1分；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6、装载垃圾过程中工作人员有拾荒行为的，每发现一次扣1分；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7、因停电或机械故障造成中转不灵，成交供应商须组织进行人工装载和增加车辆运输，不得使垃圾堵塞中转站或暴露于街道，影响镇容，不符合要求的扣2分。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val="restart"/>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07"/>
                  <w:vMerge w:val="restart"/>
                  <w:tcBorders>
                    <w:top w:val="none" w:color="000000" w:sz="4"/>
                    <w:left w:val="single" w:color="000000" w:sz="4"/>
                    <w:bottom w:val="single" w:color="000000" w:sz="4"/>
                    <w:right w:val="single" w:color="000000" w:sz="4"/>
                  </w:tcBorders>
                  <w:vAlign w:val="top"/>
                </w:tcPr>
                <w:p>
                  <w:pPr>
                    <w:jc w:val="center"/>
                  </w:pPr>
                  <w:r>
                    <w:rPr>
                      <w:sz w:val="21"/>
                    </w:rPr>
                    <w:t>垃圾桶、果皮箱保洁，广告牌、牛皮癣保洁和管理</w:t>
                  </w:r>
                </w:p>
                <w:p>
                  <w:pPr>
                    <w:jc w:val="center"/>
                  </w:pPr>
                  <w:r>
                    <w:rPr>
                      <w:sz w:val="21"/>
                    </w:rPr>
                    <w:t>（</w:t>
                  </w:r>
                  <w:r>
                    <w:rPr>
                      <w:sz w:val="21"/>
                    </w:rPr>
                    <w:t>10分）</w:t>
                  </w:r>
                </w:p>
              </w:tc>
              <w:tc>
                <w:tcPr>
                  <w:tcW w:type="dxa" w:w="1668"/>
                  <w:vMerge w:val="restart"/>
                  <w:tcBorders>
                    <w:top w:val="none" w:color="000000" w:sz="4"/>
                    <w:left w:val="single" w:color="000000" w:sz="4"/>
                    <w:bottom w:val="single" w:color="000000" w:sz="4"/>
                    <w:right w:val="single" w:color="000000" w:sz="4"/>
                  </w:tcBorders>
                  <w:vAlign w:val="top"/>
                </w:tcPr>
                <w:p>
                  <w:r>
                    <w:rPr>
                      <w:sz w:val="21"/>
                    </w:rPr>
                    <w:t>1、</w:t>
                  </w:r>
                  <w:r>
                    <w:rPr>
                      <w:sz w:val="21"/>
                    </w:rPr>
                    <w:t>垃圾桶、果皮箱外观应整洁、无污垢，每天需清洗箱体</w:t>
                  </w:r>
                  <w:r>
                    <w:rPr>
                      <w:sz w:val="21"/>
                    </w:rPr>
                    <w:t>1次，箱内垃圾应日产日清，无积压、满溢；</w:t>
                  </w:r>
                </w:p>
                <w:p>
                  <w:r>
                    <w:rPr>
                      <w:sz w:val="21"/>
                    </w:rPr>
                    <w:t>2、果皮箱等环卫设施损坏须及时修理；</w:t>
                  </w:r>
                </w:p>
                <w:p>
                  <w:r>
                    <w:rPr>
                      <w:sz w:val="21"/>
                    </w:rPr>
                    <w:t>3、及时清理“牛皮癣”及喷涂墙体广告。</w:t>
                  </w:r>
                </w:p>
              </w:tc>
              <w:tc>
                <w:tcPr>
                  <w:tcW w:type="dxa" w:w="2344"/>
                  <w:tcBorders>
                    <w:top w:val="none" w:color="000000" w:sz="4"/>
                    <w:left w:val="single" w:color="000000" w:sz="4"/>
                    <w:bottom w:val="single" w:color="000000" w:sz="4"/>
                    <w:right w:val="single" w:color="000000" w:sz="4"/>
                  </w:tcBorders>
                  <w:vAlign w:val="top"/>
                </w:tcPr>
                <w:p>
                  <w:r>
                    <w:rPr>
                      <w:sz w:val="21"/>
                    </w:rPr>
                    <w:t>1、垃圾桶、果皮箱未满但周边垃圾堆积、明显不洁的，每处扣0.5分；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2、果皮箱内垃圾积压、满溢，未能及时清理的，每个扣0.5分；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3、桶身、箱体明显不洁，箱体明显歪斜，或出现损坏未及时修理的，每发现一个扣0.5分；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4、1处“牛皮癣”扣0.2分，1处有5个及以上成片“牛皮癣”扣2分；一处喷涂墙体广告扣0.5分；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3</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5、提示牌、草坪灯、宣传牌等固定物目视有明显灰尘、有污迹，每发现一处扣0.2分。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val="restart"/>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07"/>
                  <w:vMerge w:val="restart"/>
                  <w:tcBorders>
                    <w:top w:val="none" w:color="000000" w:sz="4"/>
                    <w:left w:val="single" w:color="000000" w:sz="4"/>
                    <w:bottom w:val="single" w:color="000000" w:sz="4"/>
                    <w:right w:val="single" w:color="000000" w:sz="4"/>
                  </w:tcBorders>
                  <w:vAlign w:val="top"/>
                </w:tcPr>
                <w:p>
                  <w:pPr>
                    <w:jc w:val="center"/>
                  </w:pPr>
                  <w:r>
                    <w:rPr>
                      <w:sz w:val="21"/>
                    </w:rPr>
                    <w:t>公共厕所卫生保洁</w:t>
                  </w:r>
                </w:p>
                <w:p>
                  <w:pPr>
                    <w:jc w:val="center"/>
                  </w:pPr>
                  <w:r>
                    <w:rPr>
                      <w:sz w:val="21"/>
                    </w:rPr>
                    <w:t>（</w:t>
                  </w:r>
                  <w:r>
                    <w:rPr>
                      <w:sz w:val="21"/>
                    </w:rPr>
                    <w:t>5分）</w:t>
                  </w:r>
                </w:p>
              </w:tc>
              <w:tc>
                <w:tcPr>
                  <w:tcW w:type="dxa" w:w="1668"/>
                  <w:vMerge w:val="restart"/>
                  <w:tcBorders>
                    <w:top w:val="none" w:color="000000" w:sz="4"/>
                    <w:left w:val="single" w:color="000000" w:sz="4"/>
                    <w:bottom w:val="single" w:color="000000" w:sz="4"/>
                    <w:right w:val="single" w:color="000000" w:sz="4"/>
                  </w:tcBorders>
                  <w:vAlign w:val="top"/>
                </w:tcPr>
                <w:p>
                  <w:r>
                    <w:rPr>
                      <w:sz w:val="21"/>
                    </w:rPr>
                    <w:t>公共厕所卫生达标。</w:t>
                  </w:r>
                </w:p>
              </w:tc>
              <w:tc>
                <w:tcPr>
                  <w:tcW w:type="dxa" w:w="2344"/>
                  <w:tcBorders>
                    <w:top w:val="none" w:color="000000" w:sz="4"/>
                    <w:left w:val="single" w:color="000000" w:sz="4"/>
                    <w:bottom w:val="single" w:color="000000" w:sz="4"/>
                    <w:right w:val="single" w:color="000000" w:sz="4"/>
                  </w:tcBorders>
                  <w:vAlign w:val="top"/>
                </w:tcPr>
                <w:p>
                  <w:r>
                    <w:rPr>
                      <w:sz w:val="21"/>
                    </w:rPr>
                    <w:t>1、未保持地面、大小便池的清洁干净，存在积水、尿垢、污物、异味，每发现一处扣0.5分；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2、公厕内粪槽、便槽（斗）和管道有破损、堵塞的，扣1分；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3、发现公厕内照明和通风不好，但没有上报的，每发现一处扣0.5分；墙壁、顶棚、门窗、灯具、洗手池等不整洁，每发现一处扣0.5分；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4、无消毒、防蝇、防蚊和除臭设施或措施的，扣0.5分；无定期对洗手盆、门把手等进行消毒的，扣0.5分；蚊蝇孳生季节无定时喷洒蚊蝇药物，不能有效控制蚊蝇孳生的，扣0.5分。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val="restart"/>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07"/>
                  <w:vMerge w:val="restart"/>
                  <w:tcBorders>
                    <w:top w:val="none" w:color="000000" w:sz="4"/>
                    <w:left w:val="single" w:color="000000" w:sz="4"/>
                    <w:bottom w:val="single" w:color="000000" w:sz="4"/>
                    <w:right w:val="single" w:color="000000" w:sz="4"/>
                  </w:tcBorders>
                  <w:vAlign w:val="top"/>
                </w:tcPr>
                <w:p>
                  <w:pPr>
                    <w:jc w:val="center"/>
                  </w:pPr>
                  <w:r>
                    <w:rPr>
                      <w:sz w:val="21"/>
                    </w:rPr>
                    <w:t>水面打捞</w:t>
                  </w:r>
                </w:p>
                <w:p>
                  <w:pPr>
                    <w:jc w:val="center"/>
                  </w:pPr>
                  <w:r>
                    <w:rPr>
                      <w:sz w:val="21"/>
                    </w:rPr>
                    <w:t>（</w:t>
                  </w:r>
                  <w:r>
                    <w:rPr>
                      <w:sz w:val="21"/>
                    </w:rPr>
                    <w:t>4分）</w:t>
                  </w:r>
                </w:p>
              </w:tc>
              <w:tc>
                <w:tcPr>
                  <w:tcW w:type="dxa" w:w="1668"/>
                  <w:vMerge w:val="restart"/>
                  <w:tcBorders>
                    <w:top w:val="none" w:color="000000" w:sz="4"/>
                    <w:left w:val="single" w:color="000000" w:sz="4"/>
                    <w:bottom w:val="single" w:color="000000" w:sz="4"/>
                    <w:right w:val="single" w:color="000000" w:sz="4"/>
                  </w:tcBorders>
                  <w:vAlign w:val="top"/>
                </w:tcPr>
                <w:p>
                  <w:r>
                    <w:rPr>
                      <w:sz w:val="21"/>
                    </w:rPr>
                    <w:t>1、</w:t>
                  </w:r>
                  <w:r>
                    <w:rPr>
                      <w:sz w:val="21"/>
                    </w:rPr>
                    <w:t>沟渠区域无垃圾和漂浮物，无明显水生植物；</w:t>
                  </w:r>
                </w:p>
                <w:p>
                  <w:r>
                    <w:rPr>
                      <w:sz w:val="21"/>
                    </w:rPr>
                    <w:t>2、</w:t>
                  </w:r>
                  <w:r>
                    <w:rPr>
                      <w:sz w:val="21"/>
                    </w:rPr>
                    <w:t>水面打捞物集中堆放、妥善处置，无二次污染；</w:t>
                  </w:r>
                </w:p>
                <w:p>
                  <w:r>
                    <w:rPr>
                      <w:sz w:val="21"/>
                    </w:rPr>
                    <w:t>3、</w:t>
                  </w:r>
                  <w:r>
                    <w:rPr>
                      <w:sz w:val="21"/>
                    </w:rPr>
                    <w:t>沟渠两旁及隔离护栏下无垃圾；</w:t>
                  </w:r>
                </w:p>
                <w:p>
                  <w:r>
                    <w:rPr>
                      <w:sz w:val="21"/>
                    </w:rPr>
                    <w:t>4、沟渠绿化带内无纸屑、农药瓶、塑料瓶等杂物。</w:t>
                  </w:r>
                </w:p>
              </w:tc>
              <w:tc>
                <w:tcPr>
                  <w:tcW w:type="dxa" w:w="2344"/>
                  <w:tcBorders>
                    <w:top w:val="none" w:color="000000" w:sz="4"/>
                    <w:left w:val="single" w:color="000000" w:sz="4"/>
                    <w:bottom w:val="single" w:color="000000" w:sz="4"/>
                    <w:right w:val="single" w:color="000000" w:sz="4"/>
                  </w:tcBorders>
                  <w:vAlign w:val="top"/>
                </w:tcPr>
                <w:p>
                  <w:r>
                    <w:rPr>
                      <w:sz w:val="21"/>
                    </w:rPr>
                    <w:t>1、水面有明显漂浮物且未能及时打捞的，每发现1处扣0.2分；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2、水面拦截设施内聚集的垃圾无及时清捞，滞留时间超过一周的，每发现1处扣0.5分；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3、沟渠两旁及隔离护栏下有垃圾，沟渠绿化带内有纸屑、农药瓶、塑料瓶等杂物的，每发现1处扣0.2分；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4、清捞的垃圾要及时清运至指定的处理场所，未及时清运的扣1分。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val="restart"/>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07"/>
                  <w:vMerge w:val="restart"/>
                  <w:tcBorders>
                    <w:top w:val="none" w:color="000000" w:sz="4"/>
                    <w:left w:val="single" w:color="000000" w:sz="4"/>
                    <w:bottom w:val="single" w:color="000000" w:sz="4"/>
                    <w:right w:val="single" w:color="000000" w:sz="4"/>
                  </w:tcBorders>
                  <w:vAlign w:val="top"/>
                </w:tcPr>
                <w:p>
                  <w:pPr>
                    <w:jc w:val="center"/>
                  </w:pPr>
                  <w:r>
                    <w:rPr>
                      <w:sz w:val="21"/>
                    </w:rPr>
                    <w:t>绿化维护</w:t>
                  </w:r>
                </w:p>
                <w:p>
                  <w:pPr>
                    <w:jc w:val="center"/>
                  </w:pPr>
                  <w:r>
                    <w:rPr>
                      <w:sz w:val="21"/>
                    </w:rPr>
                    <w:t>（</w:t>
                  </w:r>
                  <w:r>
                    <w:rPr>
                      <w:sz w:val="21"/>
                    </w:rPr>
                    <w:t>3分）</w:t>
                  </w:r>
                </w:p>
              </w:tc>
              <w:tc>
                <w:tcPr>
                  <w:tcW w:type="dxa" w:w="1668"/>
                  <w:vMerge w:val="restart"/>
                  <w:tcBorders>
                    <w:top w:val="none" w:color="000000" w:sz="4"/>
                    <w:left w:val="single" w:color="000000" w:sz="4"/>
                    <w:bottom w:val="single" w:color="000000" w:sz="4"/>
                    <w:right w:val="single" w:color="000000" w:sz="4"/>
                  </w:tcBorders>
                  <w:vAlign w:val="top"/>
                </w:tcPr>
                <w:p>
                  <w:r>
                    <w:rPr>
                      <w:sz w:val="21"/>
                    </w:rPr>
                    <w:t>对周边花圃进行日常维护，确保无大面积枯萎。</w:t>
                  </w:r>
                </w:p>
              </w:tc>
              <w:tc>
                <w:tcPr>
                  <w:tcW w:type="dxa" w:w="2344"/>
                  <w:tcBorders>
                    <w:top w:val="none" w:color="000000" w:sz="4"/>
                    <w:left w:val="single" w:color="000000" w:sz="4"/>
                    <w:bottom w:val="single" w:color="000000" w:sz="4"/>
                    <w:right w:val="single" w:color="000000" w:sz="4"/>
                  </w:tcBorders>
                  <w:vAlign w:val="top"/>
                </w:tcPr>
                <w:p>
                  <w:r>
                    <w:rPr>
                      <w:sz w:val="21"/>
                    </w:rPr>
                    <w:t>1、无根据周边花圃植物生长所需，对其进行定期浇水，扣1分；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35"/>
                  <w:tcBorders>
                    <w:top w:val="none" w:color="000000" w:sz="4"/>
                    <w:left w:val="single" w:color="000000" w:sz="4"/>
                    <w:bottom w:val="single" w:color="000000" w:sz="4"/>
                    <w:right w:val="single" w:color="000000" w:sz="4"/>
                  </w:tcBorders>
                  <w:vAlign w:val="top"/>
                </w:tcPr>
                <w:p/>
              </w:tc>
            </w:tr>
            <w:tr>
              <w:tc>
                <w:tcPr>
                  <w:tcW w:type="dxa" w:w="35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1668"/>
                  <w:vMerge/>
                  <w:tcBorders>
                    <w:top w:val="none" w:color="000000" w:sz="4"/>
                    <w:left w:val="single" w:color="000000" w:sz="4"/>
                    <w:bottom w:val="single" w:color="000000" w:sz="4"/>
                    <w:right w:val="single" w:color="000000" w:sz="4"/>
                  </w:tcBorders>
                </w:tcPr>
                <w:p/>
              </w:tc>
              <w:tc>
                <w:tcPr>
                  <w:tcW w:type="dxa" w:w="2344"/>
                  <w:tcBorders>
                    <w:top w:val="none" w:color="000000" w:sz="4"/>
                    <w:left w:val="single" w:color="000000" w:sz="4"/>
                    <w:bottom w:val="single" w:color="000000" w:sz="4"/>
                    <w:right w:val="single" w:color="000000" w:sz="4"/>
                  </w:tcBorders>
                  <w:vAlign w:val="top"/>
                </w:tcPr>
                <w:p>
                  <w:r>
                    <w:rPr>
                      <w:sz w:val="21"/>
                    </w:rPr>
                    <w:t>2、无做好日常维护修剪工作，存在明显参差不齐，阻碍周边行人及车辆通行，扣2分。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35"/>
                  <w:tcBorders>
                    <w:top w:val="none" w:color="000000" w:sz="4"/>
                    <w:left w:val="single" w:color="000000" w:sz="4"/>
                    <w:bottom w:val="single" w:color="000000" w:sz="4"/>
                    <w:right w:val="single" w:color="000000" w:sz="4"/>
                  </w:tcBorders>
                  <w:vAlign w:val="top"/>
                </w:tcPr>
                <w:p/>
              </w:tc>
            </w:tr>
            <w:tr>
              <w:tc>
                <w:tcPr>
                  <w:tcW w:type="dxa" w:w="350"/>
                  <w:tcBorders>
                    <w:top w:val="none" w:color="000000" w:sz="4"/>
                    <w:left w:val="single" w:color="000000" w:sz="4"/>
                    <w:bottom w:val="single" w:color="000000" w:sz="4"/>
                    <w:right w:val="single" w:color="000000" w:sz="4"/>
                  </w:tcBorders>
                  <w:vAlign w:val="top"/>
                </w:tcPr>
                <w:p>
                  <w:pPr>
                    <w:jc w:val="center"/>
                  </w:pPr>
                  <w:r>
                    <w:rPr>
                      <w:sz w:val="21"/>
                    </w:rPr>
                    <w:t>9</w:t>
                  </w:r>
                </w:p>
              </w:tc>
              <w:tc>
                <w:tcPr>
                  <w:tcW w:type="dxa" w:w="607"/>
                  <w:tcBorders>
                    <w:top w:val="none" w:color="000000" w:sz="4"/>
                    <w:left w:val="single" w:color="000000" w:sz="4"/>
                    <w:bottom w:val="single" w:color="000000" w:sz="4"/>
                    <w:right w:val="single" w:color="000000" w:sz="4"/>
                  </w:tcBorders>
                  <w:vAlign w:val="top"/>
                </w:tcPr>
                <w:p>
                  <w:pPr>
                    <w:jc w:val="center"/>
                  </w:pPr>
                  <w:r>
                    <w:rPr>
                      <w:sz w:val="21"/>
                    </w:rPr>
                    <w:t>群众投诉、上级通报，镇领导、主管部门、城管点名批评</w:t>
                  </w:r>
                </w:p>
                <w:p>
                  <w:pPr>
                    <w:jc w:val="center"/>
                  </w:pPr>
                  <w:r>
                    <w:rPr>
                      <w:sz w:val="21"/>
                    </w:rPr>
                    <w:t>（</w:t>
                  </w:r>
                  <w:r>
                    <w:rPr>
                      <w:sz w:val="21"/>
                    </w:rPr>
                    <w:t>10分）</w:t>
                  </w:r>
                </w:p>
              </w:tc>
              <w:tc>
                <w:tcPr>
                  <w:tcW w:type="dxa" w:w="1668"/>
                  <w:tcBorders>
                    <w:top w:val="none" w:color="000000" w:sz="4"/>
                    <w:left w:val="single" w:color="000000" w:sz="4"/>
                    <w:bottom w:val="single" w:color="000000" w:sz="4"/>
                    <w:right w:val="single" w:color="000000" w:sz="4"/>
                  </w:tcBorders>
                  <w:vAlign w:val="top"/>
                </w:tcPr>
                <w:p>
                  <w:r>
                    <w:rPr>
                      <w:sz w:val="21"/>
                    </w:rPr>
                    <w:t>做到群众满意，无投诉，无通报，无新闻媒体曝光。</w:t>
                  </w:r>
                </w:p>
              </w:tc>
              <w:tc>
                <w:tcPr>
                  <w:tcW w:type="dxa" w:w="2344"/>
                  <w:tcBorders>
                    <w:top w:val="none" w:color="000000" w:sz="4"/>
                    <w:left w:val="single" w:color="000000" w:sz="4"/>
                    <w:bottom w:val="single" w:color="000000" w:sz="4"/>
                    <w:right w:val="single" w:color="000000" w:sz="4"/>
                  </w:tcBorders>
                  <w:vAlign w:val="top"/>
                </w:tcPr>
                <w:p>
                  <w:r>
                    <w:rPr>
                      <w:sz w:val="21"/>
                    </w:rPr>
                    <w:t>1、群众投诉经查实的每次扣1分；同一问题未加整改或整改不力，反复出现2次及以上的，每次扣5分；</w:t>
                  </w:r>
                </w:p>
                <w:p>
                  <w:r>
                    <w:rPr>
                      <w:sz w:val="21"/>
                    </w:rPr>
                    <w:t>2、因工作不力受到县级及以上部门通报批评或被新闻媒体曝光的，每次扣10分，受到镇领导、主管部门、城管点名批评环卫作业质量问题的，每次扣5分；</w:t>
                  </w:r>
                </w:p>
                <w:p>
                  <w:r>
                    <w:rPr>
                      <w:sz w:val="21"/>
                    </w:rPr>
                    <w:t>3、群众满意度差，当月收到群众投诉达3次及以上的，每增加一次扣5分。</w:t>
                  </w:r>
                </w:p>
              </w:tc>
              <w:tc>
                <w:tcPr>
                  <w:tcW w:type="dxa" w:w="377"/>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235"/>
                  <w:tcBorders>
                    <w:top w:val="none" w:color="000000" w:sz="4"/>
                    <w:left w:val="single" w:color="000000" w:sz="4"/>
                    <w:bottom w:val="single" w:color="000000" w:sz="4"/>
                    <w:right w:val="single" w:color="000000" w:sz="4"/>
                  </w:tcBorders>
                  <w:vAlign w:val="top"/>
                </w:tcPr>
                <w:p/>
              </w:tc>
            </w:tr>
          </w:tbl>
          <w:p>
            <w:r>
              <w:rPr>
                <w:b/>
                <w:sz w:val="21"/>
              </w:rPr>
              <w:t>注：采购人可根据实际需要，对考评细则进行修改完善，成交供应商必须执行。</w:t>
            </w:r>
          </w:p>
        </w:tc>
      </w:tr>
      <w:tr>
        <w:tc>
          <w:tcPr>
            <w:tcW w:type="dxa" w:w="2076"/>
          </w:tcPr>
          <w:p/>
        </w:tc>
        <w:tc>
          <w:tcPr>
            <w:tcW w:type="dxa" w:w="415"/>
          </w:tcPr>
          <w:p>
            <w:r>
              <w:rPr/>
              <w:t>7</w:t>
            </w:r>
          </w:p>
        </w:tc>
        <w:tc>
          <w:tcPr>
            <w:tcW w:type="dxa" w:w="5814"/>
          </w:tcPr>
          <w:p>
            <w:r>
              <w:rPr>
                <w:b/>
                <w:sz w:val="24"/>
              </w:rPr>
              <w:t>（</w:t>
            </w:r>
            <w:r>
              <w:rPr>
                <w:b/>
                <w:sz w:val="24"/>
              </w:rPr>
              <w:t>7</w:t>
            </w:r>
            <w:r>
              <w:rPr>
                <w:b/>
                <w:sz w:val="24"/>
              </w:rPr>
              <w:t>）</w:t>
            </w:r>
            <w:r>
              <w:rPr>
                <w:b/>
                <w:sz w:val="24"/>
              </w:rPr>
              <w:t>附件</w:t>
            </w:r>
            <w:r>
              <w:rPr>
                <w:b/>
                <w:sz w:val="24"/>
              </w:rPr>
              <w:t>2：</w:t>
            </w:r>
          </w:p>
          <w:p>
            <w:pPr>
              <w:jc w:val="center"/>
            </w:pPr>
            <w:r>
              <w:rPr>
                <w:b/>
                <w:sz w:val="24"/>
              </w:rPr>
              <w:t>车岗镇圩镇保洁项目处罚细则</w:t>
            </w:r>
          </w:p>
          <w:p>
            <w:r>
              <w:rPr>
                <w:sz w:val="21"/>
              </w:rPr>
              <w:t>一、有以下情况出现的，每次（每处）采购人处罚成交供应商</w:t>
            </w:r>
            <w:r>
              <w:rPr>
                <w:sz w:val="21"/>
              </w:rPr>
              <w:t>200元：</w:t>
            </w:r>
          </w:p>
          <w:p>
            <w:r>
              <w:rPr>
                <w:sz w:val="21"/>
              </w:rPr>
              <w:t>（</w:t>
            </w:r>
            <w:r>
              <w:rPr>
                <w:sz w:val="21"/>
              </w:rPr>
              <w:t>1）地面垃圾密度过大，每10米多于3处明显垃圾，且通报提醒后超过1小时未对其进行清理的。</w:t>
            </w:r>
          </w:p>
          <w:p>
            <w:r>
              <w:rPr>
                <w:sz w:val="21"/>
              </w:rPr>
              <w:t>（</w:t>
            </w:r>
            <w:r>
              <w:rPr>
                <w:sz w:val="21"/>
              </w:rPr>
              <w:t>2）出现垃圾黑点且经提醒后三天内未进行整治的。</w:t>
            </w:r>
          </w:p>
          <w:p>
            <w:r>
              <w:rPr>
                <w:sz w:val="21"/>
              </w:rPr>
              <w:t>（</w:t>
            </w:r>
            <w:r>
              <w:rPr>
                <w:sz w:val="21"/>
              </w:rPr>
              <w:t>3）果皮箱内垃圾积压、满溢，且通报提醒后超过1小时未能及时清理的。</w:t>
            </w:r>
          </w:p>
          <w:p>
            <w:r>
              <w:rPr>
                <w:sz w:val="21"/>
              </w:rPr>
              <w:t>（</w:t>
            </w:r>
            <w:r>
              <w:rPr>
                <w:sz w:val="21"/>
              </w:rPr>
              <w:t>4）牛皮癣超过三天未进行彻底清除的。</w:t>
            </w:r>
          </w:p>
          <w:p>
            <w:r>
              <w:rPr>
                <w:sz w:val="21"/>
              </w:rPr>
              <w:t>（</w:t>
            </w:r>
            <w:r>
              <w:rPr>
                <w:sz w:val="21"/>
              </w:rPr>
              <w:t>5）果皮箱表面有大面积明显污迹或超过15天未进行清洗消杀的。</w:t>
            </w:r>
          </w:p>
          <w:p>
            <w:r>
              <w:rPr>
                <w:sz w:val="21"/>
              </w:rPr>
              <w:t>二、如有以下情况，采购人处罚成交供应商如下</w:t>
            </w:r>
            <w:r>
              <w:rPr>
                <w:sz w:val="21"/>
              </w:rPr>
              <w:t>:</w:t>
            </w:r>
          </w:p>
          <w:p>
            <w:r>
              <w:rPr>
                <w:sz w:val="21"/>
              </w:rPr>
              <w:t>（</w:t>
            </w:r>
            <w:r>
              <w:rPr>
                <w:sz w:val="21"/>
              </w:rPr>
              <w:t>1）出现特发性污染道路事件、重大节日、重大活动或检查时，成交供应商未能按采购人要求做好相关处置工作的，采购人有权另请他人处置，所需的费用（人工费按100天/人计算，其他费用按市场价计算）在当月承包款中扣除。</w:t>
            </w:r>
          </w:p>
          <w:p>
            <w:r>
              <w:rPr>
                <w:sz w:val="21"/>
              </w:rPr>
              <w:t>（</w:t>
            </w:r>
            <w:r>
              <w:rPr>
                <w:sz w:val="21"/>
              </w:rPr>
              <w:t>2）采购人对成交供应商发出限期整改通知书，在限定时间内没有响应的，采购人处罚成交供应商500元/次。</w:t>
            </w:r>
          </w:p>
          <w:p>
            <w:r>
              <w:rPr>
                <w:sz w:val="21"/>
              </w:rPr>
              <w:t>（</w:t>
            </w:r>
            <w:r>
              <w:rPr>
                <w:sz w:val="21"/>
              </w:rPr>
              <w:t>3）圩镇主街道每季度冲洗不少于一次，若因不可抗力因素导致不能完成冲洗工作的，应提前向采购人作出说明，并于事后及时完成冲洗工作。若无提前作出说明且经采购人提醒后一周内仍未完成街道冲洗工作，采购人有权处罚成交供应商1000元/次。若因未能做好事前通知及人员防护工作导致的一切损失，由成交供应商承担。</w:t>
            </w:r>
          </w:p>
          <w:p>
            <w:r>
              <w:rPr>
                <w:sz w:val="21"/>
              </w:rPr>
              <w:t>（</w:t>
            </w:r>
            <w:r>
              <w:rPr>
                <w:sz w:val="21"/>
              </w:rPr>
              <w:t>4）成交供应商的服务不符合采购文件要求或响应文件承诺或合同要求而受到上级领导指责或群众投诉的，对每宗指责或投诉采购人处罚成交供应商500元/次。</w:t>
            </w:r>
          </w:p>
          <w:p>
            <w:r>
              <w:rPr>
                <w:sz w:val="21"/>
              </w:rPr>
              <w:t>三、如有以下情况，当月考核直接评定为不及格：</w:t>
            </w:r>
          </w:p>
          <w:p>
            <w:r>
              <w:rPr>
                <w:sz w:val="21"/>
              </w:rPr>
              <w:t>（</w:t>
            </w:r>
            <w:r>
              <w:rPr>
                <w:sz w:val="21"/>
              </w:rPr>
              <w:t>1）成交供应商未能按标准做好合同各项目服务工作而受到县级及以上部门通报批评或新闻媒体月内负面报道二次，经双方一致确认属成交供应商责任的将作当月考核不合格，直接扣除当月考核部分金额。</w:t>
            </w:r>
          </w:p>
          <w:p>
            <w:r>
              <w:rPr>
                <w:sz w:val="21"/>
              </w:rPr>
              <w:t>（</w:t>
            </w:r>
            <w:r>
              <w:rPr>
                <w:sz w:val="21"/>
              </w:rPr>
              <w:t>2）成交供应商未能按标准做好合同各项目服务工作而受到居（村）民就同一问题连续投诉三次的，经双方一致确认属成交供应商责任的将作当月考核不合格，直接扣除当月考核部分金额。</w:t>
            </w:r>
          </w:p>
          <w:p>
            <w:r>
              <w:rPr>
                <w:sz w:val="21"/>
              </w:rPr>
              <w:t>（</w:t>
            </w:r>
            <w:r>
              <w:rPr>
                <w:sz w:val="21"/>
              </w:rPr>
              <w:t>3）重大活动落实不力，未完成保障任务，造成较大影响的，当月考核评定为不合格，直接扣除当月考核部分金额。</w:t>
            </w:r>
          </w:p>
          <w:p>
            <w:r>
              <w:rPr>
                <w:sz w:val="21"/>
              </w:rPr>
              <w:t>（</w:t>
            </w:r>
            <w:r>
              <w:rPr>
                <w:sz w:val="21"/>
              </w:rPr>
              <w:t>4）作业过程中发生重大伤亡事故，根据事故鉴定作业人员负有一定责任的，所属作业单位当月考评为不合格，直接扣除当月考核部分金额，且视程度对该事故作出相应赔偿。</w:t>
            </w:r>
          </w:p>
          <w:p>
            <w:r>
              <w:rPr>
                <w:sz w:val="21"/>
              </w:rPr>
              <w:t>（</w:t>
            </w:r>
            <w:r>
              <w:rPr>
                <w:sz w:val="21"/>
              </w:rPr>
              <w:t>5）连续三个月考核不合格（月度考核不足60分）的取消承包资格。</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1.采购代理机构：本项目是指云浮市中策招标咨询服务有限公司，负责整个采购活动的组织，依法负责编制和发布磋商文件，对磋商文件拥有最终的解释权，不以任何身份出任磋商小组成员。</w:t>
      </w:r>
    </w:p>
    <w:p>
      <w:pPr>
        <w:ind w:firstLine="480"/>
      </w:pPr>
      <w:r>
        <w:rPr/>
        <w:t>2.采购人：本项目是指</w:t>
      </w:r>
      <w:r>
        <w:rPr/>
        <w:t>新兴县车岗镇人民政府</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从提交投标（响应）文件的截止之日起60日历天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采购机构代理服务收费标准：收费标准参照国家计委颁布的（计价格[2002]1980号）“服务招标”收费标准执行，收费金额按差额定率累进法计算。</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1</w:t>
            </w:r>
            <w:r>
              <w:rPr/>
              <w:t>份。供应商保证该后备步骤。</w:t>
            </w:r>
          </w:p>
          <w:p>
            <w:r>
              <w:rPr/>
              <w:t>（3）纸质响应文件正本</w:t>
            </w:r>
            <w:r>
              <w:rPr/>
              <w:t>1</w:t>
            </w:r>
            <w:r>
              <w:rPr/>
              <w:t>份，纸质响应文件副本</w:t>
            </w:r>
            <w:r>
              <w:rPr/>
              <w:t>2</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pPr>
              <w:jc w:val="left"/>
            </w:pPr>
            <w:r>
              <w:rPr/>
              <w:t>纸质响应文件递交要求，纸质响应文件递交截止时间：2022年10月24日下午15：30（注：2022年10月24日下午15：00开始受理纸质响应文件）（北京时间） 2、纸质响应文件送达地点：新兴县新城镇新洲大道南69号（城北商住区东区）第二层201室开标室 3、所有纸质响应文件必须装入密封的信封或封套。纸质响应文件的正本、副本应分别封装，并在每一信封或包装的封面上注明：项目名称、招标编号、供应商名称、联系人、联系电话、“于××年××月××日××时××分（纸质响应文件递交截止时间）之前不准启封”字样等信息。</w:t>
            </w: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；请各供应商在响应文件递交截止时间前按须知前附表规定的金额递交至</w:t>
      </w:r>
      <w:r>
        <w:rPr/>
        <w:t>云浮市中策招标咨询服务有限公司</w:t>
      </w:r>
      <w:r>
        <w:rPr/>
        <w:t>，到账情况以开启时</w:t>
      </w:r>
      <w:r>
        <w:rPr/>
        <w:t>云浮市中策招标咨询服务有限公司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简先生</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采购包1(车岗镇圩镇保洁项目)：综合评分法,是指响应文件满足磋商文件全部实质性要求，且按照评审因素的量化指标评审得分最高的投标人为成交候选人的评标方法。（最低报价不是成交的唯一依据。）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云浮市中策招标咨询服务有限公司</w:t>
      </w:r>
      <w:r>
        <w:rPr/>
        <w:t>统一对外发布。</w:t>
      </w:r>
    </w:p>
    <w:p>
      <w:pPr>
        <w:ind w:firstLine="480"/>
      </w:pPr>
      <w:r>
        <w:rPr/>
        <w:t>（2）对</w:t>
      </w:r>
      <w:r>
        <w:rPr/>
        <w:t>云浮市中策招标咨询服务有限公司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采购包1（车岗镇圩镇保洁项目）：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采购包1（车岗镇圩镇保洁项目）：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提供有效营业执照（或事业单位法人证书）复印件，如非“多证合一”证照的还须同时提供组织机构代码证和税务登记证复印件。</w:t>
            </w:r>
          </w:p>
        </w:tc>
      </w:tr>
      <w:tr>
        <w:tc>
          <w:tcPr>
            <w:tcW w:type="dxa" w:w="890"/>
          </w:tcPr>
          <w:p>
            <w:r>
              <w:rPr/>
              <w:t>2</w:t>
            </w:r>
          </w:p>
        </w:tc>
        <w:tc>
          <w:tcPr>
            <w:tcW w:type="dxa" w:w="3178"/>
          </w:tcPr>
          <w:p>
            <w:r>
              <w:rPr/>
              <w:t>具有良好的商业信誉和健全的财务会计制度</w:t>
            </w:r>
          </w:p>
        </w:tc>
        <w:tc>
          <w:tcPr>
            <w:tcW w:type="dxa" w:w="4238"/>
          </w:tcPr>
          <w:p>
            <w:r>
              <w:rPr/>
              <w:t>提供2021年度财务报表或2022年任意一个月度/季度财务报表复印件（新成立的企业或提供基本户开户行出具的资信证明复印件）。</w:t>
            </w:r>
          </w:p>
        </w:tc>
      </w:tr>
      <w:tr>
        <w:tc>
          <w:tcPr>
            <w:tcW w:type="dxa" w:w="890"/>
          </w:tcPr>
          <w:p>
            <w:r>
              <w:rPr/>
              <w:t>3</w:t>
            </w:r>
          </w:p>
        </w:tc>
        <w:tc>
          <w:tcPr>
            <w:tcW w:type="dxa" w:w="3178"/>
          </w:tcPr>
          <w:p>
            <w:r>
              <w:rPr/>
              <w:t>履行合同所必需的设备和专业技术能力</w:t>
            </w:r>
          </w:p>
        </w:tc>
        <w:tc>
          <w:tcPr>
            <w:tcW w:type="dxa" w:w="4238"/>
          </w:tcPr>
          <w:p>
            <w:r>
              <w:rPr/>
              <w:t>在响应文件中提供声明函。</w:t>
            </w:r>
          </w:p>
        </w:tc>
      </w:tr>
      <w:tr>
        <w:tc>
          <w:tcPr>
            <w:tcW w:type="dxa" w:w="890"/>
          </w:tcPr>
          <w:p>
            <w:r>
              <w:rPr/>
              <w:t>4</w:t>
            </w:r>
          </w:p>
        </w:tc>
        <w:tc>
          <w:tcPr>
            <w:tcW w:type="dxa" w:w="3178"/>
          </w:tcPr>
          <w:p>
            <w:r>
              <w:rPr/>
              <w:t>有依法缴纳税收和社会保障资金的良好记录</w:t>
            </w:r>
          </w:p>
        </w:tc>
        <w:tc>
          <w:tcPr>
            <w:tcW w:type="dxa" w:w="4238"/>
          </w:tcPr>
          <w:p>
            <w:r>
              <w:rPr/>
              <w:t>提供投标截止日前六个月内任意一个月缴纳税收和社会保险的凭据复印件；依法免税或不需要缴纳社会保障资金的供应商应提供相关证明文件复印件。</w:t>
            </w:r>
          </w:p>
        </w:tc>
      </w:tr>
      <w:tr>
        <w:tc>
          <w:tcPr>
            <w:tcW w:type="dxa" w:w="890"/>
          </w:tcPr>
          <w:p>
            <w:r>
              <w:rPr/>
              <w:t>5</w:t>
            </w:r>
          </w:p>
        </w:tc>
        <w:tc>
          <w:tcPr>
            <w:tcW w:type="dxa" w:w="3178"/>
          </w:tcPr>
          <w:p>
            <w:r>
              <w:rPr/>
              <w:t>参加采购活动前3年内，在经营活动中没有重大违法记录</w:t>
            </w:r>
          </w:p>
        </w:tc>
        <w:tc>
          <w:tcPr>
            <w:tcW w:type="dxa" w:w="4238"/>
          </w:tcPr>
          <w:p>
            <w:r>
              <w:rPr/>
              <w:t>在响应文件中提供声明函。</w:t>
            </w:r>
          </w:p>
        </w:tc>
      </w:tr>
      <w:tr>
        <w:tc>
          <w:tcPr>
            <w:tcW w:type="dxa" w:w="890"/>
          </w:tcPr>
          <w:p>
            <w:r>
              <w:rPr/>
              <w:t>6</w:t>
            </w:r>
          </w:p>
        </w:tc>
        <w:tc>
          <w:tcPr>
            <w:tcW w:type="dxa" w:w="3178"/>
          </w:tcPr>
          <w:p>
            <w:r>
              <w:rPr/>
              <w:t>合同包1(车岗镇圩镇保洁项目)特定资格要求如下:</w:t>
            </w:r>
          </w:p>
        </w:tc>
        <w:tc>
          <w:tcPr>
            <w:tcW w:type="dxa" w:w="4238"/>
          </w:tcPr>
          <w:p>
            <w:r>
              <w:rPr/>
              <w:t>（1）供应商须具备法律、行政法规规定的其他条件：在响应文件中提供声明函。 （2）供应商须是在中华人民共和国境内注册的具备独立承担民事责任能力的法人或其它组织。 （3）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（4）本项目不接受联合体参加投标，不允许转包和分包。 （5）本项目为一个整体，供应商须对全部内容进行投标，不得分拆。</w:t>
            </w:r>
          </w:p>
        </w:tc>
      </w:tr>
      <w:tr>
        <w:tc>
          <w:tcPr>
            <w:tcW w:type="dxa" w:w="890"/>
          </w:tcPr>
          <w:p>
            <w:r>
              <w:rPr/>
              <w:t>7</w:t>
            </w:r>
          </w:p>
        </w:tc>
        <w:tc>
          <w:tcPr>
            <w:tcW w:type="dxa" w:w="3178"/>
          </w:tcPr>
          <w:p>
            <w:r>
              <w:rPr/>
              <w:t>本采购包专门面向中小企业采购</w:t>
            </w:r>
          </w:p>
        </w:tc>
        <w:tc>
          <w:tcPr>
            <w:tcW w:type="dxa" w:w="4238"/>
          </w:tcPr>
          <w:p>
            <w:r>
              <w:rPr/>
              <w:t>采购包整体专门面向中小企业，为预留份额的采购项目。</w:t>
            </w:r>
          </w:p>
        </w:tc>
      </w:tr>
    </w:tbl>
    <w:p/>
    <w:p>
      <w:pPr>
        <w:ind w:firstLine="480"/>
      </w:pPr>
      <w:r>
        <w:rPr/>
        <w:t>表二符合性审查表：</w:t>
      </w:r>
    </w:p>
    <w:p>
      <w:pPr>
        <w:ind w:firstLine="480"/>
      </w:pPr>
    </w:p>
    <w:p/>
    <w:p>
      <w:r>
        <w:rPr/>
        <w:t>采购包1（车岗镇圩镇保洁项目）：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磋商文件完整且总体编排有序，并按磋商文件规定要求签署、盖章的</w:t>
            </w:r>
          </w:p>
        </w:tc>
        <w:tc>
          <w:tcPr>
            <w:tcW w:type="dxa" w:w="4238"/>
          </w:tcPr>
          <w:p>
            <w:r>
              <w:rPr/>
              <w:t>磋商文件完整且总体编排有序，并按磋商文件规定要求签署、盖章的</w:t>
            </w:r>
          </w:p>
        </w:tc>
      </w:tr>
      <w:tr>
        <w:tc>
          <w:tcPr>
            <w:tcW w:type="dxa" w:w="890"/>
          </w:tcPr>
          <w:p>
            <w:r>
              <w:rPr/>
              <w:t>2</w:t>
            </w:r>
          </w:p>
        </w:tc>
        <w:tc>
          <w:tcPr>
            <w:tcW w:type="dxa" w:w="3178"/>
          </w:tcPr>
          <w:p>
            <w:r>
              <w:rPr/>
              <w:t>响应文件有效期不少于60天</w:t>
            </w:r>
          </w:p>
        </w:tc>
        <w:tc>
          <w:tcPr>
            <w:tcW w:type="dxa" w:w="4238"/>
          </w:tcPr>
          <w:p>
            <w:r>
              <w:rPr/>
              <w:t>响应文件有效期不少于60天</w:t>
            </w:r>
          </w:p>
        </w:tc>
      </w:tr>
      <w:tr>
        <w:tc>
          <w:tcPr>
            <w:tcW w:type="dxa" w:w="890"/>
          </w:tcPr>
          <w:p>
            <w:r>
              <w:rPr/>
              <w:t>3</w:t>
            </w:r>
          </w:p>
        </w:tc>
        <w:tc>
          <w:tcPr>
            <w:tcW w:type="dxa" w:w="3178"/>
          </w:tcPr>
          <w:p>
            <w:r>
              <w:rPr/>
              <w:t>技术、商务的响应没有重大负偏离或保留</w:t>
            </w:r>
          </w:p>
        </w:tc>
        <w:tc>
          <w:tcPr>
            <w:tcW w:type="dxa" w:w="4238"/>
          </w:tcPr>
          <w:p>
            <w:r>
              <w:rPr/>
              <w:t>技术、商务的响应没有重大负偏离或保留</w:t>
            </w:r>
          </w:p>
        </w:tc>
      </w:tr>
      <w:tr>
        <w:tc>
          <w:tcPr>
            <w:tcW w:type="dxa" w:w="890"/>
          </w:tcPr>
          <w:p>
            <w:r>
              <w:rPr/>
              <w:t>4</w:t>
            </w:r>
          </w:p>
        </w:tc>
        <w:tc>
          <w:tcPr>
            <w:tcW w:type="dxa" w:w="3178"/>
          </w:tcPr>
          <w:p>
            <w:r>
              <w:rPr/>
              <w:t>报价是固定价且是唯一的，符合磋商文件规定的报价要求</w:t>
            </w:r>
          </w:p>
        </w:tc>
        <w:tc>
          <w:tcPr>
            <w:tcW w:type="dxa" w:w="4238"/>
          </w:tcPr>
          <w:p>
            <w:r>
              <w:rPr/>
              <w:t>报价是固定价且是唯一的，符合磋商文件规定的报价要求</w:t>
            </w:r>
          </w:p>
        </w:tc>
      </w:tr>
      <w:tr>
        <w:tc>
          <w:tcPr>
            <w:tcW w:type="dxa" w:w="890"/>
          </w:tcPr>
          <w:p>
            <w:r>
              <w:rPr/>
              <w:t>5</w:t>
            </w:r>
          </w:p>
        </w:tc>
        <w:tc>
          <w:tcPr>
            <w:tcW w:type="dxa" w:w="3178"/>
          </w:tcPr>
          <w:p>
            <w:r>
              <w:rPr/>
              <w:t>不存在低于成本价的报价或报价明显不合理而供应商不能合理说明的情况</w:t>
            </w:r>
          </w:p>
        </w:tc>
        <w:tc>
          <w:tcPr>
            <w:tcW w:type="dxa" w:w="4238"/>
          </w:tcPr>
          <w:p>
            <w:r>
              <w:rPr/>
              <w:t>不存在低于成本价的报价或报价明显不合理而供应商不能合理说明的情况</w:t>
            </w:r>
          </w:p>
        </w:tc>
      </w:tr>
      <w:tr>
        <w:tc>
          <w:tcPr>
            <w:tcW w:type="dxa" w:w="890"/>
          </w:tcPr>
          <w:p>
            <w:r>
              <w:rPr/>
              <w:t>6</w:t>
            </w:r>
          </w:p>
        </w:tc>
        <w:tc>
          <w:tcPr>
            <w:tcW w:type="dxa" w:w="3178"/>
          </w:tcPr>
          <w:p>
            <w:r>
              <w:rPr/>
              <w:t>没有出现磋商文件规定的被视为无效响应的其它情形</w:t>
            </w:r>
          </w:p>
        </w:tc>
        <w:tc>
          <w:tcPr>
            <w:tcW w:type="dxa" w:w="4238"/>
          </w:tcPr>
          <w:p>
            <w:r>
              <w:rPr/>
              <w:t>没有出现磋商文件规定的被视为无效响应的其它情形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响应文件不含有采购人不能接受的附加条件</w:t>
            </w:r>
          </w:p>
        </w:tc>
        <w:tc>
          <w:tcPr>
            <w:tcW w:type="dxa" w:w="4238"/>
          </w:tcPr>
          <w:p>
            <w:r>
              <w:rPr/>
              <w:t>响应文件不含有采购人不能接受的附加条件</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采购包1车岗镇圩镇保洁项目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技术部分60.0分</w:t>
            </w:r>
          </w:p>
          <w:p>
            <w:r>
              <w:rPr/>
              <w:t>报价得分10.0分</w:t>
            </w:r>
          </w:p>
        </w:tc>
      </w:tr>
      <w:tr>
        <w:tc>
          <w:tcPr>
            <w:tcW w:type="dxa" w:w="922"/>
            <w:gridSpan w:val="2"/>
            <w:vMerge w:val="restart"/>
          </w:tcPr>
          <w:p>
            <w:pPr>
              <w:jc w:val="center"/>
            </w:pPr>
            <w:r>
              <w:rPr/>
              <w:t>技术部分</w:t>
            </w:r>
          </w:p>
        </w:tc>
        <w:tc>
          <w:tcPr>
            <w:tcW w:type="dxa" w:w="2307"/>
          </w:tcPr>
          <w:p>
            <w:pPr>
              <w:jc w:val="left"/>
            </w:pPr>
            <w:r>
              <w:rPr/>
              <w:t>采购需求响应程度 (3.0分)</w:t>
            </w:r>
            <w:r>
              <w:rPr/>
              <w:t>，（等次分值选择：</w:t>
            </w:r>
            <w:r>
              <w:rPr/>
              <w:t>0.0;</w:t>
            </w:r>
            <w:r>
              <w:rPr/>
              <w:t>1.0;</w:t>
            </w:r>
            <w:r>
              <w:rPr/>
              <w:t>2.0;</w:t>
            </w:r>
            <w:r>
              <w:rPr/>
              <w:t>3.0;</w:t>
            </w:r>
            <w:r>
              <w:rPr/>
              <w:t>）</w:t>
            </w:r>
          </w:p>
        </w:tc>
        <w:tc>
          <w:tcPr>
            <w:tcW w:type="dxa" w:w="5076"/>
          </w:tcPr>
          <w:p>
            <w:pPr>
              <w:jc w:val="left"/>
            </w:pPr>
            <w:r>
              <w:rPr/>
              <w:t>考查各供应商对“第二章 采购需求”中“1.主要商务要求”和“2.技术标准与要求”的非“★”项条款的响应情况： （1）逐条响应，存在合理的正偏离的，得3分； （2）响应完全的，得2分； （3）响应不完全，有部分缺漏的，得1分； （4）响应缺漏严重的，得0分。</w:t>
            </w:r>
          </w:p>
        </w:tc>
      </w:tr>
      <w:tr>
        <w:tc>
          <w:tcPr>
            <w:tcW w:type="dxa" w:w="922"/>
            <w:gridSpan w:val="2"/>
            <w:vMerge/>
          </w:tcPr>
          <w:p/>
        </w:tc>
        <w:tc>
          <w:tcPr>
            <w:tcW w:type="dxa" w:w="2307"/>
          </w:tcPr>
          <w:p>
            <w:pPr>
              <w:jc w:val="left"/>
            </w:pPr>
            <w:r>
              <w:rPr/>
              <w:t>对本项目的理解 (8.0分)</w:t>
            </w:r>
            <w:r>
              <w:rPr/>
              <w:t>，（等次分值选择：</w:t>
            </w:r>
            <w:r>
              <w:rPr/>
              <w:t>0.0;</w:t>
            </w:r>
            <w:r>
              <w:rPr/>
              <w:t>2.0;</w:t>
            </w:r>
            <w:r>
              <w:rPr/>
              <w:t>5.0;</w:t>
            </w:r>
            <w:r>
              <w:rPr/>
              <w:t>8.0;</w:t>
            </w:r>
            <w:r>
              <w:rPr/>
              <w:t>）</w:t>
            </w:r>
          </w:p>
        </w:tc>
        <w:tc>
          <w:tcPr>
            <w:tcW w:type="dxa" w:w="5076"/>
          </w:tcPr>
          <w:p>
            <w:pPr>
              <w:jc w:val="left"/>
            </w:pPr>
            <w:r>
              <w:rPr/>
              <w:t>根据供应商针对本项目提出的服务总体设想和理解、服务目标、对本项目实施区域的了解程度等进行综合评分： （1）理解深刻，对项目整体有充分把握，目标明确的，得8分； （2）理解程度、熟悉程度一般，目标较为明确的，得5分； （3）理解程度、熟悉程度较差，目标不明确的，得2分； （4）无提供方案的，得0分。</w:t>
            </w:r>
          </w:p>
        </w:tc>
      </w:tr>
      <w:tr>
        <w:tc>
          <w:tcPr>
            <w:tcW w:type="dxa" w:w="922"/>
            <w:gridSpan w:val="2"/>
            <w:vMerge/>
          </w:tcPr>
          <w:p/>
        </w:tc>
        <w:tc>
          <w:tcPr>
            <w:tcW w:type="dxa" w:w="2307"/>
          </w:tcPr>
          <w:p>
            <w:pPr>
              <w:jc w:val="left"/>
            </w:pPr>
            <w:r>
              <w:rPr/>
              <w:t>对项目重难点的理解与分析 (8.0分)</w:t>
            </w:r>
            <w:r>
              <w:rPr/>
              <w:t>，（等次分值选择：</w:t>
            </w:r>
            <w:r>
              <w:rPr/>
              <w:t>0.0;</w:t>
            </w:r>
            <w:r>
              <w:rPr/>
              <w:t>2.0;</w:t>
            </w:r>
            <w:r>
              <w:rPr/>
              <w:t>5.0;</w:t>
            </w:r>
            <w:r>
              <w:rPr/>
              <w:t>8.0;</w:t>
            </w:r>
            <w:r>
              <w:rPr/>
              <w:t>）</w:t>
            </w:r>
          </w:p>
        </w:tc>
        <w:tc>
          <w:tcPr>
            <w:tcW w:type="dxa" w:w="5076"/>
          </w:tcPr>
          <w:p>
            <w:pPr>
              <w:jc w:val="left"/>
            </w:pPr>
            <w:r>
              <w:rPr/>
              <w:t>根据供应商针对本项目重难点的理解、分析与提出的解决方案进行综合评分： （1）分析全面、透彻，提出的解决方案针对性、可行性高，得8分； （2）分析基本全面、透彻，提出的解决方案针对性、可行性一般，得5分； （3）分析浅薄，提出的解决方案针对性、可行性较差，得2分； （4）无提供方案的，得0分。</w:t>
            </w:r>
          </w:p>
        </w:tc>
      </w:tr>
      <w:tr>
        <w:tc>
          <w:tcPr>
            <w:tcW w:type="dxa" w:w="922"/>
            <w:gridSpan w:val="2"/>
            <w:vMerge/>
          </w:tcPr>
          <w:p/>
        </w:tc>
        <w:tc>
          <w:tcPr>
            <w:tcW w:type="dxa" w:w="2307"/>
          </w:tcPr>
          <w:p>
            <w:pPr>
              <w:jc w:val="left"/>
            </w:pPr>
            <w:r>
              <w:rPr/>
              <w:t>组织实施方案 (15.0分)</w:t>
            </w:r>
            <w:r>
              <w:rPr/>
              <w:t>，（等次分值选择：</w:t>
            </w:r>
            <w:r>
              <w:rPr/>
              <w:t>0.0;</w:t>
            </w:r>
            <w:r>
              <w:rPr/>
              <w:t>3.0;</w:t>
            </w:r>
            <w:r>
              <w:rPr/>
              <w:t>7.0;</w:t>
            </w:r>
            <w:r>
              <w:rPr/>
              <w:t>11.0;</w:t>
            </w:r>
            <w:r>
              <w:rPr/>
              <w:t>15.0;</w:t>
            </w:r>
            <w:r>
              <w:rPr/>
              <w:t>）</w:t>
            </w:r>
          </w:p>
        </w:tc>
        <w:tc>
          <w:tcPr>
            <w:tcW w:type="dxa" w:w="5076"/>
          </w:tcPr>
          <w:p>
            <w:pPr>
              <w:jc w:val="left"/>
            </w:pPr>
            <w:r>
              <w:rPr/>
              <w:t>根据供应商提供的组织实施方案进行综合评分： （1）方案详细、合理、专业，可行性高，得15分； （2）方案较详细、较合理、较专业，可行性较高，得11分； （3）方案基本详细、合理、专业，可行性一般，得7分； （4）方案过于简单且不专业，缺乏可行性，得3分； （5）无提供方案的，得0分。</w:t>
            </w:r>
          </w:p>
        </w:tc>
      </w:tr>
      <w:tr>
        <w:tc>
          <w:tcPr>
            <w:tcW w:type="dxa" w:w="922"/>
            <w:gridSpan w:val="2"/>
            <w:vMerge/>
          </w:tcPr>
          <w:p/>
        </w:tc>
        <w:tc>
          <w:tcPr>
            <w:tcW w:type="dxa" w:w="2307"/>
          </w:tcPr>
          <w:p>
            <w:pPr>
              <w:jc w:val="left"/>
            </w:pPr>
            <w:r>
              <w:rPr/>
              <w:t>管理机构设立方案、运作流程 (9.0分)</w:t>
            </w:r>
            <w:r>
              <w:rPr/>
              <w:t>，（等次分值选择：</w:t>
            </w:r>
            <w:r>
              <w:rPr/>
              <w:t>0.0;</w:t>
            </w:r>
            <w:r>
              <w:rPr/>
              <w:t>3.0;</w:t>
            </w:r>
            <w:r>
              <w:rPr/>
              <w:t>6.0;</w:t>
            </w:r>
            <w:r>
              <w:rPr/>
              <w:t>9.0;</w:t>
            </w:r>
            <w:r>
              <w:rPr/>
              <w:t>）</w:t>
            </w:r>
          </w:p>
        </w:tc>
        <w:tc>
          <w:tcPr>
            <w:tcW w:type="dxa" w:w="5076"/>
          </w:tcPr>
          <w:p>
            <w:pPr>
              <w:jc w:val="left"/>
            </w:pPr>
            <w:r>
              <w:rPr/>
              <w:t>根据供应商提供的针对本项目的管理机构设立方案、运作流程进行综合评分： （1）管理机构设立方案合理完善，运作流程清晰，得9分； （2）管理机构设立方案较完善，运作流程基本清晰，得6分； （3）管理机构设立方案不完善，运作流程不清晰，得3分； （4）无提供方案的，得0分。</w:t>
            </w:r>
          </w:p>
        </w:tc>
      </w:tr>
      <w:tr>
        <w:tc>
          <w:tcPr>
            <w:tcW w:type="dxa" w:w="922"/>
            <w:gridSpan w:val="2"/>
            <w:vMerge/>
          </w:tcPr>
          <w:p/>
        </w:tc>
        <w:tc>
          <w:tcPr>
            <w:tcW w:type="dxa" w:w="2307"/>
          </w:tcPr>
          <w:p>
            <w:pPr>
              <w:jc w:val="left"/>
            </w:pPr>
            <w:r>
              <w:rPr/>
              <w:t>应急方案 (9.0分)</w:t>
            </w:r>
            <w:r>
              <w:rPr/>
              <w:t>，（等次分值选择：</w:t>
            </w:r>
            <w:r>
              <w:rPr/>
              <w:t>0.0;</w:t>
            </w:r>
            <w:r>
              <w:rPr/>
              <w:t>3.0;</w:t>
            </w:r>
            <w:r>
              <w:rPr/>
              <w:t>6.0;</w:t>
            </w:r>
            <w:r>
              <w:rPr/>
              <w:t>9.0;</w:t>
            </w:r>
            <w:r>
              <w:rPr/>
              <w:t>）</w:t>
            </w:r>
          </w:p>
        </w:tc>
        <w:tc>
          <w:tcPr>
            <w:tcW w:type="dxa" w:w="5076"/>
          </w:tcPr>
          <w:p>
            <w:pPr>
              <w:jc w:val="left"/>
            </w:pPr>
            <w:r>
              <w:rPr/>
              <w:t>根据供应商针对特发事件，台风、暴雨等天气影响，重大接待任务，重大节假日或活动等特殊情况制定的应急方案进行综合评分： （1）方案详尽，可行性、合理性、完善性、针对性强，得9分； （2）方案较详尽，可行性、合理性、完善性、针对性一般，得6分； （3）方案过于简单且可行性、合理性、完善性、针对性较差，得3分； （4）无提供方案的，得0分。</w:t>
            </w:r>
          </w:p>
        </w:tc>
      </w:tr>
      <w:tr>
        <w:tc>
          <w:tcPr>
            <w:tcW w:type="dxa" w:w="922"/>
            <w:gridSpan w:val="2"/>
            <w:vMerge/>
          </w:tcPr>
          <w:p/>
        </w:tc>
        <w:tc>
          <w:tcPr>
            <w:tcW w:type="dxa" w:w="2307"/>
          </w:tcPr>
          <w:p>
            <w:pPr>
              <w:jc w:val="left"/>
            </w:pPr>
            <w:r>
              <w:rPr/>
              <w:t>人员培训方案 (8.0分)</w:t>
            </w:r>
            <w:r>
              <w:rPr/>
              <w:t>，（等次分值选择：</w:t>
            </w:r>
            <w:r>
              <w:rPr/>
              <w:t>0.0;</w:t>
            </w:r>
            <w:r>
              <w:rPr/>
              <w:t>2.0;</w:t>
            </w:r>
            <w:r>
              <w:rPr/>
              <w:t>5.0;</w:t>
            </w:r>
            <w:r>
              <w:rPr/>
              <w:t>8.0;</w:t>
            </w:r>
            <w:r>
              <w:rPr/>
              <w:t>）</w:t>
            </w:r>
          </w:p>
        </w:tc>
        <w:tc>
          <w:tcPr>
            <w:tcW w:type="dxa" w:w="5076"/>
          </w:tcPr>
          <w:p>
            <w:pPr>
              <w:jc w:val="left"/>
            </w:pPr>
            <w:r>
              <w:rPr/>
              <w:t>根据供应商提供的人员培训方案进行综合评分： （1）培训方案完善，科学合理，可行性高，得8分； （2）培训方案较完善，较科学合理，可行性较高，得5分； （3）培训方案欠完善，欠科学，缺乏可行性，得2分； （4）无提供方案的，得0分。</w:t>
            </w:r>
          </w:p>
        </w:tc>
      </w:tr>
      <w:tr>
        <w:tc>
          <w:tcPr>
            <w:tcW w:type="dxa" w:w="922"/>
            <w:gridSpan w:val="2"/>
            <w:vMerge w:val="restart"/>
          </w:tcPr>
          <w:p>
            <w:pPr>
              <w:jc w:val="center"/>
            </w:pPr>
            <w:r>
              <w:rPr/>
              <w:t>商务部分</w:t>
            </w:r>
          </w:p>
        </w:tc>
        <w:tc>
          <w:tcPr>
            <w:tcW w:type="dxa" w:w="2307"/>
          </w:tcPr>
          <w:p>
            <w:pPr>
              <w:jc w:val="left"/>
            </w:pPr>
            <w:r>
              <w:rPr/>
              <w:t>同类项目业绩 (15.0分)</w:t>
            </w:r>
            <w:r>
              <w:rPr/>
              <w:t>，（等次分值选择：</w:t>
            </w:r>
            <w:r>
              <w:rPr/>
              <w:t>0.0;</w:t>
            </w:r>
            <w:r>
              <w:rPr/>
              <w:t>5.0;</w:t>
            </w:r>
            <w:r>
              <w:rPr/>
              <w:t>10.0;</w:t>
            </w:r>
            <w:r>
              <w:rPr/>
              <w:t>15.0;</w:t>
            </w:r>
            <w:r>
              <w:rPr/>
              <w:t>）</w:t>
            </w:r>
          </w:p>
        </w:tc>
        <w:tc>
          <w:tcPr>
            <w:tcW w:type="dxa" w:w="5076"/>
          </w:tcPr>
          <w:p>
            <w:pPr>
              <w:jc w:val="left"/>
            </w:pPr>
            <w:r>
              <w:rPr/>
              <w:t>供应商自2022年以来（以合同签订时间为准）承接的保洁类项目业绩：每提供1个得5分，本项最高得15分。 【备注：响应文件中须提供合同关键页复印件，不提供不得分。】</w:t>
            </w:r>
          </w:p>
        </w:tc>
      </w:tr>
      <w:tr>
        <w:tc>
          <w:tcPr>
            <w:tcW w:type="dxa" w:w="922"/>
            <w:gridSpan w:val="2"/>
            <w:vMerge/>
          </w:tcPr>
          <w:p/>
        </w:tc>
        <w:tc>
          <w:tcPr>
            <w:tcW w:type="dxa" w:w="2307"/>
          </w:tcPr>
          <w:p>
            <w:pPr>
              <w:jc w:val="left"/>
            </w:pPr>
            <w:r>
              <w:rPr/>
              <w:t>拟投入本项目的物资 (5.0分)</w:t>
            </w:r>
            <w:r>
              <w:rPr/>
              <w:t>，（等次分值选择：</w:t>
            </w:r>
            <w:r>
              <w:rPr/>
              <w:t>0.0;</w:t>
            </w:r>
            <w:r>
              <w:rPr/>
              <w:t>1.0;</w:t>
            </w:r>
            <w:r>
              <w:rPr/>
              <w:t>3.0;</w:t>
            </w:r>
            <w:r>
              <w:rPr/>
              <w:t>5.0;</w:t>
            </w:r>
            <w:r>
              <w:rPr/>
              <w:t>）</w:t>
            </w:r>
          </w:p>
        </w:tc>
        <w:tc>
          <w:tcPr>
            <w:tcW w:type="dxa" w:w="5076"/>
          </w:tcPr>
          <w:p>
            <w:pPr>
              <w:jc w:val="left"/>
            </w:pPr>
            <w:r>
              <w:rPr/>
              <w:t>对供应商拟投入本项目的保洁工具、机械设备及劳动保护用品进行综合评分： （1）物资配置齐全、充足，得5分； （2）物资配置较齐全、较充足，得3分； （3）物资配置欠齐全、欠充足，得1分。 【备注：（1）如物资为供应商自有的，响应文件中须提供有销售方盖章的购置发票/收据复印件（购置发票/收据的抬头须为供应商），不提供不得分；（2）如物资为供应商租赁的，响应文件中须提供有效的以供应商名义签订的物资租赁合同复印件，不提供不得分。】</w:t>
            </w:r>
          </w:p>
        </w:tc>
      </w:tr>
      <w:tr>
        <w:tc>
          <w:tcPr>
            <w:tcW w:type="dxa" w:w="922"/>
            <w:gridSpan w:val="2"/>
            <w:vMerge/>
          </w:tcPr>
          <w:p/>
        </w:tc>
        <w:tc>
          <w:tcPr>
            <w:tcW w:type="dxa" w:w="2307"/>
          </w:tcPr>
          <w:p>
            <w:pPr>
              <w:jc w:val="left"/>
            </w:pPr>
            <w:r>
              <w:rPr/>
              <w:t>拟投入本项目的人员 (5.0分)</w:t>
            </w:r>
            <w:r>
              <w:rPr/>
              <w:t>，（等次分值选择：</w:t>
            </w:r>
            <w:r>
              <w:rPr/>
              <w:t>0.0;</w:t>
            </w:r>
            <w:r>
              <w:rPr/>
              <w:t>1.0;</w:t>
            </w:r>
            <w:r>
              <w:rPr/>
              <w:t>3.0;</w:t>
            </w:r>
            <w:r>
              <w:rPr/>
              <w:t>5.0;</w:t>
            </w:r>
            <w:r>
              <w:rPr/>
              <w:t>）</w:t>
            </w:r>
          </w:p>
        </w:tc>
        <w:tc>
          <w:tcPr>
            <w:tcW w:type="dxa" w:w="5076"/>
          </w:tcPr>
          <w:p>
            <w:pPr>
              <w:jc w:val="left"/>
            </w:pPr>
            <w:r>
              <w:rPr/>
              <w:t>对供应商拟投入本项目的人员组成数量、结构进行综合评分： （1）人员充足、结构合理，得5分； （2）人员较充足、结构较合理，得3分； （3）人员欠充足、结构欠合理，得1分。 【备注：响应文件中须提供人员相关证件复印件，不提供不得分。】</w:t>
            </w:r>
          </w:p>
        </w:tc>
      </w:tr>
      <w:tr>
        <w:tc>
          <w:tcPr>
            <w:tcW w:type="dxa" w:w="922"/>
            <w:gridSpan w:val="2"/>
            <w:vMerge/>
          </w:tcPr>
          <w:p/>
        </w:tc>
        <w:tc>
          <w:tcPr>
            <w:tcW w:type="dxa" w:w="2307"/>
          </w:tcPr>
          <w:p>
            <w:pPr>
              <w:jc w:val="left"/>
            </w:pPr>
            <w:r>
              <w:rPr/>
              <w:t>服务机构便利性 (5.0分)</w:t>
            </w:r>
            <w:r>
              <w:rPr/>
              <w:t>，（等次分值选择：</w:t>
            </w:r>
            <w:r>
              <w:rPr/>
              <w:t>0.0;</w:t>
            </w:r>
            <w:r>
              <w:rPr/>
              <w:t>1.0;</w:t>
            </w:r>
            <w:r>
              <w:rPr/>
              <w:t>3.0;</w:t>
            </w:r>
            <w:r>
              <w:rPr/>
              <w:t>5.0;</w:t>
            </w:r>
            <w:r>
              <w:rPr/>
              <w:t>）</w:t>
            </w:r>
          </w:p>
        </w:tc>
        <w:tc>
          <w:tcPr>
            <w:tcW w:type="dxa" w:w="5076"/>
          </w:tcPr>
          <w:p>
            <w:pPr>
              <w:jc w:val="left"/>
            </w:pPr>
            <w:r>
              <w:rPr/>
              <w:t>为保证服务响应时效，综合评价供应商服务机构的便利性： （1）服务机构非常便利，服务距离非常近，得5分； （2）服务机构相对较便利，服务距离较近，得3分； （3）服务机构相对较不便利，服务距离较远，得1分。 【备注：以供应商服务机构营业执照地址为准，响应文件中须提供营业执照复印件。】</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磋商小组采取随机抽取的方式确定。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r>
        <w:rPr>
          <w:b/>
          <w:sz w:val="21"/>
        </w:rPr>
        <w:t>注：</w:t>
      </w:r>
    </w:p>
    <w:p>
      <w:r>
        <w:rPr>
          <w:b/>
          <w:sz w:val="21"/>
        </w:rPr>
        <w:t>1、</w:t>
      </w:r>
      <w:r>
        <w:rPr>
          <w:b/>
          <w:sz w:val="21"/>
        </w:rPr>
        <w:t>本合同仅为合同的参考文本，合同签订双方应按照磋商文件的要求和响应文件的承诺进行修订。</w:t>
      </w:r>
    </w:p>
    <w:p>
      <w:r>
        <w:rPr>
          <w:b/>
          <w:sz w:val="21"/>
        </w:rPr>
        <w:t>2、根据《关于印发&lt;政府采购促进中小企业发展管理办法&gt;的通知》（财库〔2020〕46号），本合同为中小企业预留合同。</w:t>
      </w:r>
    </w:p>
    <w:p>
      <w:pPr>
        <w:jc w:val="center"/>
      </w:pPr>
    </w:p>
    <w:p>
      <w:pPr>
        <w:jc w:val="center"/>
      </w:pPr>
    </w:p>
    <w:p>
      <w:pPr>
        <w:jc w:val="center"/>
      </w:pPr>
      <w:r>
        <w:rPr/>
        <w:t xml:space="preserve"> </w:t>
      </w:r>
    </w:p>
    <w:p>
      <w:pPr>
        <w:jc w:val="center"/>
      </w:pPr>
      <w:r>
        <w:rPr/>
        <w:t xml:space="preserve"> </w:t>
      </w:r>
    </w:p>
    <w:p>
      <w:pPr>
        <w:jc w:val="center"/>
      </w:pPr>
      <w:r>
        <w:rPr>
          <w:b/>
          <w:sz w:val="84"/>
        </w:rPr>
        <w:t>政府采购项目</w:t>
      </w:r>
    </w:p>
    <w:p/>
    <w:p/>
    <w:p>
      <w:pPr>
        <w:jc w:val="center"/>
      </w:pPr>
      <w:r>
        <w:rPr/>
        <w:t xml:space="preserve"> </w:t>
      </w:r>
    </w:p>
    <w:p>
      <w:pPr>
        <w:jc w:val="center"/>
      </w:pPr>
      <w:r>
        <w:rPr/>
        <w:t xml:space="preserve"> </w:t>
      </w:r>
    </w:p>
    <w:p>
      <w:pPr>
        <w:jc w:val="center"/>
      </w:pPr>
      <w:r>
        <w:rPr>
          <w:b/>
          <w:sz w:val="52"/>
        </w:rPr>
        <w:t>合</w:t>
      </w:r>
    </w:p>
    <w:p>
      <w:pPr>
        <w:jc w:val="center"/>
      </w:pPr>
    </w:p>
    <w:p>
      <w:pPr>
        <w:jc w:val="center"/>
      </w:pPr>
      <w:r>
        <w:rPr/>
        <w:t xml:space="preserve"> </w:t>
      </w:r>
    </w:p>
    <w:p>
      <w:pPr>
        <w:jc w:val="center"/>
      </w:pPr>
      <w:r>
        <w:rPr>
          <w:b/>
          <w:sz w:val="52"/>
        </w:rPr>
        <w:t>同</w:t>
      </w:r>
    </w:p>
    <w:p>
      <w:pPr>
        <w:jc w:val="center"/>
      </w:pPr>
    </w:p>
    <w:p>
      <w:pPr>
        <w:jc w:val="center"/>
      </w:pPr>
      <w:r>
        <w:rPr/>
        <w:t xml:space="preserve"> </w:t>
      </w:r>
    </w:p>
    <w:p>
      <w:pPr>
        <w:jc w:val="center"/>
      </w:pPr>
      <w:r>
        <w:rPr>
          <w:b/>
          <w:sz w:val="52"/>
        </w:rPr>
        <w:t>书</w:t>
      </w:r>
    </w:p>
    <w:p/>
    <w:p>
      <w:pPr>
        <w:jc w:val="both"/>
      </w:pPr>
    </w:p>
    <w:p/>
    <w:p>
      <w:pPr>
        <w:ind w:firstLine="281"/>
      </w:pPr>
      <w:r>
        <w:rPr/>
        <w:t xml:space="preserve"> </w:t>
      </w:r>
    </w:p>
    <w:p>
      <w:pPr>
        <w:ind w:firstLine="281"/>
      </w:pPr>
      <w:r>
        <w:rPr/>
        <w:t xml:space="preserve"> </w:t>
      </w:r>
    </w:p>
    <w:p>
      <w:pPr>
        <w:ind w:firstLine="281"/>
      </w:pPr>
      <w:r>
        <w:rPr>
          <w:b/>
          <w:sz w:val="28"/>
        </w:rPr>
        <w:t>项目名称：</w:t>
      </w:r>
      <w:r>
        <w:rPr>
          <w:b/>
          <w:sz w:val="21"/>
          <w:u w:val="single"/>
        </w:rPr>
        <w:t xml:space="preserve">                          </w:t>
      </w:r>
    </w:p>
    <w:p>
      <w:pPr>
        <w:ind w:firstLine="281"/>
      </w:pPr>
      <w:r>
        <w:rPr>
          <w:b/>
          <w:sz w:val="28"/>
        </w:rPr>
        <w:t>合同编号：</w:t>
      </w:r>
      <w:r>
        <w:rPr>
          <w:b/>
          <w:sz w:val="21"/>
          <w:u w:val="single"/>
        </w:rPr>
        <w:t xml:space="preserve">                          </w:t>
      </w:r>
    </w:p>
    <w:p>
      <w:pPr>
        <w:ind w:firstLine="281"/>
      </w:pPr>
      <w:r>
        <w:rPr>
          <w:b/>
          <w:sz w:val="28"/>
        </w:rPr>
        <w:t>签约地点：</w:t>
      </w:r>
      <w:r>
        <w:rPr>
          <w:b/>
          <w:sz w:val="21"/>
          <w:u w:val="single"/>
        </w:rPr>
        <w:t xml:space="preserve">                          </w:t>
      </w:r>
    </w:p>
    <w:p>
      <w:pPr>
        <w:ind w:firstLine="281"/>
      </w:pPr>
      <w:r>
        <w:rPr>
          <w:b/>
          <w:sz w:val="28"/>
        </w:rPr>
        <w:t>签订日期：</w:t>
      </w:r>
      <w:r>
        <w:rPr>
          <w:b/>
          <w:sz w:val="21"/>
          <w:u w:val="single"/>
        </w:rPr>
        <w:t xml:space="preserve">       </w:t>
      </w:r>
      <w:r>
        <w:rPr>
          <w:b/>
          <w:sz w:val="28"/>
        </w:rPr>
        <w:t>年</w:t>
      </w:r>
      <w:r>
        <w:rPr>
          <w:b/>
          <w:sz w:val="21"/>
          <w:u w:val="single"/>
        </w:rPr>
        <w:t xml:space="preserve">       </w:t>
      </w:r>
      <w:r>
        <w:rPr>
          <w:b/>
          <w:sz w:val="28"/>
        </w:rPr>
        <w:t>月</w:t>
      </w:r>
      <w:r>
        <w:rPr>
          <w:b/>
          <w:sz w:val="21"/>
          <w:u w:val="single"/>
        </w:rPr>
        <w:t xml:space="preserve">       </w:t>
      </w:r>
      <w:r>
        <w:rPr>
          <w:b/>
          <w:sz w:val="28"/>
        </w:rPr>
        <w:t>日</w:t>
      </w:r>
    </w:p>
    <w:p>
      <w:pPr>
        <w:jc w:val="center"/>
      </w:pPr>
    </w:p>
    <w:p/>
    <w:p>
      <w:pPr>
        <w:pBdr>
          <w:bottom w:val="single" w:sz="12" w:space="1"/>
        </w:pBdr>
      </w:pPr>
    </w:p>
    <w:p>
      <w:r>
        <w:rPr>
          <w:b/>
          <w:sz w:val="21"/>
        </w:rPr>
        <w:t>甲</w:t>
      </w:r>
      <w:r>
        <w:rPr>
          <w:b/>
          <w:sz w:val="21"/>
        </w:rPr>
        <w:t xml:space="preserve">   </w:t>
      </w:r>
      <w:r>
        <w:rPr>
          <w:b/>
          <w:sz w:val="21"/>
        </w:rPr>
        <w:t>方：</w:t>
      </w:r>
      <w:r>
        <w:rPr>
          <w:b/>
          <w:sz w:val="21"/>
          <w:u w:val="single"/>
        </w:rPr>
        <w:t xml:space="preserve">                 </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r>
        <w:rPr>
          <w:b/>
          <w:sz w:val="21"/>
        </w:rPr>
        <w:t>乙</w:t>
      </w:r>
      <w:r>
        <w:rPr>
          <w:b/>
          <w:sz w:val="21"/>
        </w:rPr>
        <w:t xml:space="preserve">   </w:t>
      </w:r>
      <w:r>
        <w:rPr>
          <w:b/>
          <w:sz w:val="21"/>
        </w:rPr>
        <w:t>方：</w:t>
      </w:r>
      <w:r>
        <w:rPr>
          <w:b/>
          <w:sz w:val="21"/>
          <w:u w:val="single"/>
        </w:rPr>
        <w:t xml:space="preserve">                 </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
      <w:pPr>
        <w:ind w:firstLine="420"/>
      </w:pPr>
      <w:r>
        <w:rPr>
          <w:sz w:val="21"/>
        </w:rPr>
        <w:t>根据</w:t>
      </w:r>
      <w:r>
        <w:rPr>
          <w:sz w:val="21"/>
          <w:u w:val="single"/>
        </w:rPr>
        <w:t xml:space="preserve">                          </w:t>
      </w:r>
      <w:r>
        <w:rPr>
          <w:sz w:val="21"/>
        </w:rPr>
        <w:t>项目</w:t>
      </w:r>
      <w:r>
        <w:rPr>
          <w:sz w:val="21"/>
        </w:rPr>
        <w:t>（招标编号：</w:t>
      </w:r>
      <w:r>
        <w:rPr>
          <w:sz w:val="21"/>
          <w:u w:val="single"/>
        </w:rPr>
        <w:t xml:space="preserve">         </w:t>
      </w:r>
      <w:r>
        <w:rPr>
          <w:sz w:val="21"/>
        </w:rPr>
        <w:t>）</w:t>
      </w:r>
      <w:r>
        <w:rPr>
          <w:sz w:val="21"/>
        </w:rPr>
        <w:t>的采购结果，按照《中华人民共和国政府采购法》、</w:t>
      </w:r>
      <w:r>
        <w:rPr>
          <w:sz w:val="21"/>
        </w:rPr>
        <w:t>《</w:t>
      </w:r>
      <w:r>
        <w:rPr>
          <w:sz w:val="21"/>
        </w:rPr>
        <w:t>中华人民共和国</w:t>
      </w:r>
      <w:r>
        <w:rPr>
          <w:sz w:val="21"/>
        </w:rPr>
        <w:t>民法典》</w:t>
      </w:r>
      <w:r>
        <w:rPr>
          <w:sz w:val="21"/>
        </w:rPr>
        <w:t>的规定，</w:t>
      </w:r>
      <w:r>
        <w:rPr>
          <w:sz w:val="21"/>
        </w:rPr>
        <w:t>经双方协商，</w:t>
      </w:r>
      <w:r>
        <w:rPr>
          <w:sz w:val="21"/>
        </w:rPr>
        <w:t>本着平等互利和诚实信用的原则，</w:t>
      </w:r>
      <w:r>
        <w:rPr>
          <w:sz w:val="21"/>
        </w:rPr>
        <w:t>一致同意签订本合同如下</w:t>
      </w:r>
      <w:r>
        <w:rPr>
          <w:sz w:val="21"/>
        </w:rPr>
        <w:t>。</w:t>
      </w:r>
    </w:p>
    <w:p>
      <w:pPr>
        <w:jc w:val="both"/>
      </w:pPr>
      <w:r>
        <w:rPr>
          <w:b/>
          <w:sz w:val="21"/>
        </w:rPr>
        <w:t>一、合同金额</w:t>
      </w:r>
    </w:p>
    <w:p>
      <w:pPr>
        <w:jc w:val="both"/>
      </w:pPr>
      <w:r>
        <w:rPr>
          <w:sz w:val="21"/>
        </w:rPr>
        <w:t>1、</w:t>
      </w:r>
      <w:r>
        <w:rPr>
          <w:sz w:val="21"/>
        </w:rPr>
        <w:t>合同金额为（大写）：人民币</w:t>
      </w:r>
      <w:r>
        <w:rPr>
          <w:sz w:val="21"/>
          <w:u w:val="single"/>
        </w:rPr>
        <w:t xml:space="preserve">                </w:t>
      </w:r>
      <w:r>
        <w:rPr>
          <w:sz w:val="21"/>
        </w:rPr>
        <w:t>（</w:t>
      </w:r>
      <w:r>
        <w:rPr>
          <w:sz w:val="21"/>
        </w:rPr>
        <w:t>¥</w:t>
      </w:r>
      <w:r>
        <w:rPr>
          <w:sz w:val="21"/>
          <w:u w:val="single"/>
        </w:rPr>
        <w:t xml:space="preserve">            </w:t>
      </w:r>
      <w:r>
        <w:rPr>
          <w:sz w:val="21"/>
        </w:rPr>
        <w:t>）。</w:t>
      </w:r>
    </w:p>
    <w:p>
      <w:pPr>
        <w:jc w:val="both"/>
      </w:pPr>
      <w:r>
        <w:rPr>
          <w:sz w:val="21"/>
        </w:rPr>
        <w:t>2、</w:t>
      </w:r>
      <w:r>
        <w:rPr>
          <w:sz w:val="21"/>
        </w:rPr>
        <w:t>每月承包款（未扣罚前）为（大写）</w:t>
      </w:r>
      <w:r>
        <w:rPr>
          <w:sz w:val="21"/>
        </w:rPr>
        <w:t>：</w:t>
      </w:r>
      <w:r>
        <w:rPr>
          <w:sz w:val="21"/>
        </w:rPr>
        <w:t>人民币</w:t>
      </w:r>
      <w:r>
        <w:rPr>
          <w:sz w:val="21"/>
          <w:u w:val="single"/>
        </w:rPr>
        <w:t xml:space="preserve">                </w:t>
      </w:r>
      <w:r>
        <w:rPr>
          <w:sz w:val="21"/>
        </w:rPr>
        <w:t>（</w:t>
      </w:r>
      <w:r>
        <w:rPr>
          <w:sz w:val="21"/>
        </w:rPr>
        <w:t>¥</w:t>
      </w:r>
      <w:r>
        <w:rPr>
          <w:sz w:val="21"/>
          <w:u w:val="single"/>
        </w:rPr>
        <w:t xml:space="preserve">            </w:t>
      </w:r>
      <w:r>
        <w:rPr>
          <w:sz w:val="21"/>
        </w:rPr>
        <w:t>）。</w:t>
      </w:r>
    </w:p>
    <w:p>
      <w:pPr>
        <w:jc w:val="both"/>
      </w:pPr>
      <w:r>
        <w:rPr>
          <w:b/>
          <w:sz w:val="21"/>
        </w:rPr>
        <w:t>二、服务要求</w:t>
      </w:r>
    </w:p>
    <w:p>
      <w:r>
        <w:rPr>
          <w:sz w:val="21"/>
        </w:rPr>
        <w:t>1、本合同项下的服务指</w:t>
      </w:r>
      <w:r>
        <w:rPr>
          <w:sz w:val="21"/>
          <w:u w:val="single"/>
        </w:rPr>
        <w:t xml:space="preserve">                            </w:t>
      </w:r>
      <w:r>
        <w:rPr>
          <w:sz w:val="21"/>
        </w:rPr>
        <w:t>。</w:t>
      </w:r>
    </w:p>
    <w:p>
      <w:r>
        <w:rPr>
          <w:sz w:val="21"/>
        </w:rPr>
        <w:t>2、数量：</w:t>
      </w:r>
    </w:p>
    <w:p>
      <w:r>
        <w:rPr>
          <w:sz w:val="21"/>
        </w:rPr>
        <w:t>3、</w:t>
      </w:r>
      <w:r>
        <w:rPr>
          <w:sz w:val="21"/>
        </w:rPr>
        <w:t>……</w:t>
      </w:r>
    </w:p>
    <w:p>
      <w:r>
        <w:rPr>
          <w:sz w:val="21"/>
        </w:rPr>
        <w:t>……</w:t>
      </w:r>
    </w:p>
    <w:p>
      <w:pPr>
        <w:jc w:val="both"/>
      </w:pPr>
      <w:r>
        <w:rPr>
          <w:b/>
          <w:sz w:val="21"/>
        </w:rPr>
        <w:t>三、履行期限、地点和方式</w:t>
      </w:r>
    </w:p>
    <w:p>
      <w:pPr>
        <w:ind w:firstLine="435"/>
      </w:pPr>
      <w:r>
        <w:rPr>
          <w:sz w:val="21"/>
        </w:rPr>
        <w:t>……</w:t>
      </w:r>
    </w:p>
    <w:p>
      <w:pPr>
        <w:jc w:val="both"/>
      </w:pPr>
      <w:r>
        <w:rPr>
          <w:b/>
          <w:sz w:val="21"/>
        </w:rPr>
        <w:t>四、</w:t>
      </w:r>
      <w:r>
        <w:rPr>
          <w:b/>
          <w:sz w:val="21"/>
        </w:rPr>
        <w:t>服务要求</w:t>
      </w:r>
    </w:p>
    <w:p>
      <w:pPr>
        <w:ind w:firstLine="435"/>
      </w:pPr>
      <w:r>
        <w:rPr>
          <w:sz w:val="21"/>
        </w:rPr>
        <w:t>……</w:t>
      </w:r>
    </w:p>
    <w:p>
      <w:pPr>
        <w:jc w:val="both"/>
      </w:pPr>
      <w:r>
        <w:rPr>
          <w:b/>
          <w:sz w:val="21"/>
        </w:rPr>
        <w:t>五、验收要求</w:t>
      </w:r>
    </w:p>
    <w:p>
      <w:pPr>
        <w:ind w:firstLine="435"/>
      </w:pPr>
      <w:r>
        <w:rPr>
          <w:sz w:val="21"/>
        </w:rPr>
        <w:t>……</w:t>
      </w:r>
    </w:p>
    <w:p>
      <w:pPr>
        <w:jc w:val="both"/>
      </w:pPr>
      <w:r>
        <w:rPr>
          <w:b/>
          <w:sz w:val="21"/>
        </w:rPr>
        <w:t>六、付款方式</w:t>
      </w:r>
    </w:p>
    <w:p>
      <w:pPr>
        <w:ind w:firstLine="435"/>
      </w:pPr>
      <w:r>
        <w:rPr>
          <w:sz w:val="21"/>
        </w:rPr>
        <w:t>……</w:t>
      </w:r>
    </w:p>
    <w:p>
      <w:pPr>
        <w:jc w:val="both"/>
      </w:pPr>
      <w:r>
        <w:rPr>
          <w:b/>
          <w:sz w:val="21"/>
        </w:rPr>
        <w:t>七、其他商务要求（如有）</w:t>
      </w:r>
    </w:p>
    <w:p>
      <w:pPr>
        <w:ind w:firstLine="420"/>
        <w:jc w:val="both"/>
      </w:pPr>
      <w:r>
        <w:rPr>
          <w:sz w:val="21"/>
        </w:rPr>
        <w:t>……</w:t>
      </w:r>
    </w:p>
    <w:p>
      <w:pPr>
        <w:jc w:val="both"/>
      </w:pPr>
      <w:r>
        <w:rPr>
          <w:b/>
          <w:sz w:val="21"/>
        </w:rPr>
        <w:t>八、甲乙双方的权利和义务</w:t>
      </w:r>
    </w:p>
    <w:p>
      <w:r>
        <w:rPr>
          <w:sz w:val="21"/>
        </w:rPr>
        <w:t>（一）甲方的权利和义务</w:t>
      </w:r>
    </w:p>
    <w:p>
      <w:pPr>
        <w:ind w:firstLine="420"/>
      </w:pPr>
      <w:r>
        <w:rPr>
          <w:sz w:val="21"/>
        </w:rPr>
        <w:t>……</w:t>
      </w:r>
    </w:p>
    <w:p>
      <w:r>
        <w:rPr>
          <w:sz w:val="21"/>
        </w:rPr>
        <w:t>（二）乙方的权利和义务</w:t>
      </w:r>
    </w:p>
    <w:p>
      <w:pPr>
        <w:ind w:firstLine="420"/>
      </w:pPr>
      <w:r>
        <w:rPr>
          <w:sz w:val="21"/>
        </w:rPr>
        <w:t>……</w:t>
      </w:r>
    </w:p>
    <w:p>
      <w:r>
        <w:rPr>
          <w:b/>
          <w:sz w:val="21"/>
        </w:rPr>
        <w:t>九、违约责任</w:t>
      </w:r>
    </w:p>
    <w:p>
      <w:pPr>
        <w:ind w:firstLine="420"/>
      </w:pPr>
      <w:r>
        <w:rPr>
          <w:sz w:val="21"/>
        </w:rPr>
        <w:t>……</w:t>
      </w:r>
    </w:p>
    <w:p>
      <w:r>
        <w:rPr>
          <w:b/>
          <w:sz w:val="21"/>
        </w:rPr>
        <w:t>十、其他条款（如有需要，甲乙双方可根据实际增加合同条款）</w:t>
      </w:r>
    </w:p>
    <w:p>
      <w:pPr>
        <w:ind w:firstLine="420"/>
      </w:pPr>
      <w:r>
        <w:rPr>
          <w:sz w:val="21"/>
        </w:rPr>
        <w:t>……</w:t>
      </w:r>
    </w:p>
    <w:p>
      <w:r>
        <w:rPr>
          <w:b/>
          <w:sz w:val="21"/>
        </w:rPr>
        <w:t>十一、合同变更</w:t>
      </w:r>
    </w:p>
    <w:p>
      <w:r>
        <w:rPr>
          <w:sz w:val="21"/>
        </w:rPr>
        <w:t>1、乙方根据现场实际情况，发现合同原计划或方案不尽合理，确实需变更原合同约定的，应及时通知甲方，并提出变更理由、修正方案及变更清单，经双方协商并签署有关文件（作为合同附件），并报政府采购监管部门同意后实施。</w:t>
      </w:r>
    </w:p>
    <w:p>
      <w:r>
        <w:rPr>
          <w:sz w:val="21"/>
        </w:rPr>
        <w:t>2、无论是按原合同要求，或是根据现场实际情况作出变更，乙方都不能免除其应承担的责任。</w:t>
      </w:r>
    </w:p>
    <w:p>
      <w:r>
        <w:rPr>
          <w:b/>
          <w:sz w:val="21"/>
        </w:rPr>
        <w:t>十二、合同解除和终止</w:t>
      </w:r>
    </w:p>
    <w:p>
      <w:r>
        <w:rPr>
          <w:sz w:val="21"/>
        </w:rPr>
        <w:t>1、合同自然终止</w:t>
      </w:r>
    </w:p>
    <w:p>
      <w:pPr>
        <w:ind w:firstLine="525"/>
      </w:pPr>
      <w:r>
        <w:rPr>
          <w:sz w:val="21"/>
        </w:rPr>
        <w:t>甲乙双方各自完成合同规定的责任和义务，合同自然终止。</w:t>
      </w:r>
    </w:p>
    <w:p>
      <w:r>
        <w:rPr>
          <w:sz w:val="21"/>
        </w:rPr>
        <w:t>2、违约违规终止合同</w:t>
      </w:r>
    </w:p>
    <w:p>
      <w:r>
        <w:rPr>
          <w:sz w:val="21"/>
        </w:rPr>
        <w:t>（</w:t>
      </w:r>
      <w:r>
        <w:rPr>
          <w:sz w:val="21"/>
        </w:rPr>
        <w:t>1）在甲方对乙方违约违规而采取的任何补救措施不受影响的情况下，甲方可向乙方发出书面的违约通知书，提出终止部分或全部合同。</w:t>
      </w:r>
    </w:p>
    <w:p>
      <w:r>
        <w:rPr>
          <w:sz w:val="21"/>
        </w:rPr>
        <w:t>（</w:t>
      </w:r>
      <w:r>
        <w:rPr>
          <w:sz w:val="21"/>
        </w:rPr>
        <w:t>2）如果乙方未能在合同规定的期限内提供服务。</w:t>
      </w:r>
    </w:p>
    <w:p>
      <w:r>
        <w:rPr>
          <w:sz w:val="21"/>
        </w:rPr>
        <w:t>（</w:t>
      </w:r>
      <w:r>
        <w:rPr>
          <w:sz w:val="21"/>
        </w:rPr>
        <w:t>3）如果乙方未能履行合同规定的其它任何义务。</w:t>
      </w:r>
    </w:p>
    <w:p>
      <w:r>
        <w:rPr>
          <w:sz w:val="21"/>
        </w:rPr>
        <w:t>（</w:t>
      </w:r>
      <w:r>
        <w:rPr>
          <w:sz w:val="21"/>
        </w:rPr>
        <w:t>4）如果甲方认为乙方在本合同的投标竞争和实施过程中有违反有关政府采购的法律、法规，涉嫌用不正当手段影响甲方采购过程，包括谎报或隐瞒事实、损害甲方利益、干扰甲方、评委、采购代理机构的招标、评标等行为。</w:t>
      </w:r>
    </w:p>
    <w:p>
      <w:r>
        <w:rPr>
          <w:sz w:val="21"/>
        </w:rPr>
        <w:t>3、因乙方破产而终止合同</w:t>
      </w:r>
    </w:p>
    <w:p>
      <w:pPr>
        <w:ind w:firstLine="420"/>
      </w:pPr>
      <w:r>
        <w:rPr>
          <w:sz w:val="21"/>
        </w:rPr>
        <w:t>如果乙方破产或无清偿能力，甲方可在任何时候以书面形式通知乙方，提出终止合同而不给乙方补偿。该合同的终止将不损害或影响甲方已经采取或将要采取的任何行动或补救措施的权利。</w:t>
      </w:r>
    </w:p>
    <w:p>
      <w:r>
        <w:rPr>
          <w:b/>
          <w:sz w:val="21"/>
        </w:rPr>
        <w:t>十三、争议的解决</w:t>
      </w:r>
    </w:p>
    <w:p>
      <w:pPr>
        <w:ind w:firstLine="420"/>
      </w:pPr>
      <w:r>
        <w:rPr>
          <w:sz w:val="21"/>
        </w:rPr>
        <w:t>合同执行过程中发生的任何争议，如双方不能通过友好协商解决，按相关法律法规处理。</w:t>
      </w:r>
    </w:p>
    <w:p>
      <w:r>
        <w:rPr>
          <w:b/>
          <w:sz w:val="21"/>
        </w:rPr>
        <w:t>十四、不可抗力</w:t>
      </w:r>
    </w:p>
    <w:p>
      <w:pPr>
        <w:ind w:firstLine="411"/>
      </w:pPr>
      <w:r>
        <w:rPr>
          <w:sz w:val="21"/>
        </w:rPr>
        <w:t>任何一方由于不可抗力原因不能履行合同时，应在不可抗力事件结束后</w:t>
      </w:r>
      <w:r>
        <w:rPr>
          <w:sz w:val="21"/>
        </w:rPr>
        <w:t>1日内向对方通报，以减轻可能给对方造成的损失，在取得有关机构的不可抗力证明或对方谅解确认后，允许延期履行或修订合同，并根据情况可部分或全部免于承担违约责任。</w:t>
      </w:r>
    </w:p>
    <w:p>
      <w:r>
        <w:rPr>
          <w:b/>
          <w:sz w:val="21"/>
        </w:rPr>
        <w:t>十五、税费</w:t>
      </w:r>
    </w:p>
    <w:p>
      <w:pPr>
        <w:ind w:firstLine="411"/>
      </w:pPr>
      <w:r>
        <w:rPr>
          <w:sz w:val="21"/>
        </w:rPr>
        <w:t>在中国境内、外发生的与本合同执行有关的一切税费均由乙方负担。</w:t>
      </w:r>
    </w:p>
    <w:p>
      <w:r>
        <w:rPr>
          <w:b/>
          <w:sz w:val="21"/>
        </w:rPr>
        <w:t>十六、其它</w:t>
      </w:r>
    </w:p>
    <w:p>
      <w:pPr>
        <w:jc w:val="both"/>
      </w:pPr>
      <w:r>
        <w:rPr>
          <w:sz w:val="21"/>
        </w:rPr>
        <w:t>1、本项目磋商文件、响应文件、成交通知书及本合同所有附件均为合同的有效组成部分，与本合同具有同等法律效力。</w:t>
      </w:r>
    </w:p>
    <w:p>
      <w:pPr>
        <w:jc w:val="both"/>
      </w:pPr>
      <w:r>
        <w:rPr>
          <w:sz w:val="21"/>
        </w:rPr>
        <w:t>2、在执行本合同的过程中，所有经双方签署确认的文件（包括会议纪要、补充协议、往来信函）即成为本合同的有效组成部分。</w:t>
      </w:r>
    </w:p>
    <w:p>
      <w:pPr>
        <w:jc w:val="both"/>
      </w:pPr>
      <w:r>
        <w:rPr>
          <w:sz w:val="21"/>
        </w:rPr>
        <w:t>3、如一方地址、电话、传真号码有变更，应在变更当日内书面通知对方，否则，应承担相应责任。</w:t>
      </w:r>
    </w:p>
    <w:p>
      <w:pPr>
        <w:jc w:val="both"/>
      </w:pPr>
      <w:r>
        <w:rPr>
          <w:sz w:val="21"/>
        </w:rPr>
        <w:t>4、除甲方事先书面同意外，乙方不得部分或全部转让其应履行的合同项下的义务。</w:t>
      </w:r>
    </w:p>
    <w:p>
      <w:r>
        <w:rPr>
          <w:b/>
          <w:sz w:val="21"/>
        </w:rPr>
        <w:t>十七、合同生效</w:t>
      </w:r>
    </w:p>
    <w:p>
      <w:pPr>
        <w:jc w:val="both"/>
      </w:pPr>
      <w:r>
        <w:rPr>
          <w:sz w:val="21"/>
        </w:rPr>
        <w:t>1、本合同在甲乙双方法定代表人或其授权代表签字盖章后生效，合同签署日期以较迟签注的日期为准。</w:t>
      </w:r>
    </w:p>
    <w:p>
      <w:pPr>
        <w:jc w:val="both"/>
      </w:pPr>
      <w:r>
        <w:rPr>
          <w:sz w:val="21"/>
        </w:rPr>
        <w:t>2、本合同一式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份，政府采购监管部门</w:t>
      </w:r>
      <w:r>
        <w:rPr>
          <w:sz w:val="21"/>
          <w:u w:val="single"/>
        </w:rPr>
        <w:t>1</w:t>
      </w:r>
      <w:r>
        <w:rPr>
          <w:sz w:val="21"/>
        </w:rPr>
        <w:t>份，采购代理机构</w:t>
      </w:r>
      <w:r>
        <w:rPr>
          <w:sz w:val="21"/>
          <w:u w:val="single"/>
        </w:rPr>
        <w:t>1</w:t>
      </w:r>
      <w:r>
        <w:rPr>
          <w:sz w:val="21"/>
        </w:rPr>
        <w:t>份。</w:t>
      </w:r>
    </w:p>
    <w:p>
      <w:pPr>
        <w:jc w:val="both"/>
      </w:pPr>
    </w:p>
    <w:p>
      <w:r>
        <w:rPr>
          <w:b/>
          <w:sz w:val="21"/>
        </w:rPr>
        <w:t>甲方（盖章）：</w:t>
      </w:r>
      <w:r>
        <w:rPr>
          <w:b/>
          <w:sz w:val="21"/>
        </w:rPr>
        <w:t xml:space="preserve">                   </w:t>
      </w:r>
      <w:r>
        <w:rPr>
          <w:b/>
          <w:sz w:val="21"/>
        </w:rPr>
        <w:t>乙方（盖章）：</w:t>
      </w:r>
    </w:p>
    <w:p>
      <w:r>
        <w:rPr>
          <w:b/>
          <w:sz w:val="21"/>
        </w:rPr>
        <w:t>代表：</w:t>
      </w:r>
      <w:r>
        <w:rPr>
          <w:b/>
          <w:sz w:val="21"/>
        </w:rPr>
        <w:t xml:space="preserve">                          </w:t>
      </w:r>
      <w:r>
        <w:rPr>
          <w:b/>
          <w:sz w:val="21"/>
        </w:rPr>
        <w:t>代表：</w:t>
      </w:r>
    </w:p>
    <w:p>
      <w:r>
        <w:rPr>
          <w:sz w:val="21"/>
        </w:rPr>
        <w:t>签订地点：</w:t>
      </w:r>
    </w:p>
    <w:p>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r>
        <w:rPr>
          <w:sz w:val="21"/>
        </w:rPr>
        <w:t xml:space="preserve">                                 开户名称：</w:t>
      </w:r>
    </w:p>
    <w:p>
      <w:r>
        <w:rPr>
          <w:sz w:val="21"/>
        </w:rPr>
        <w:t xml:space="preserve">                                 银行账号：</w:t>
      </w:r>
    </w:p>
    <w:p>
      <w:r>
        <w:rPr>
          <w:sz w:val="21"/>
        </w:rPr>
        <w:t xml:space="preserve">                                 开</w:t>
      </w:r>
      <w:r>
        <w:rPr>
          <w:sz w:val="21"/>
        </w:rPr>
        <w:t>户</w:t>
      </w:r>
      <w:r>
        <w:rPr>
          <w:sz w:val="21"/>
        </w:rPr>
        <w:t>行：</w:t>
      </w:r>
    </w:p>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445321-2022-01850</w:t>
      </w:r>
    </w:p>
    <w:p>
      <w:pPr>
        <w:jc w:val="center"/>
      </w:pPr>
      <w:r>
        <w:rPr>
          <w:b/>
          <w:sz w:val="24"/>
        </w:rPr>
        <w:t>采购项目编号：</w:t>
      </w:r>
      <w:r>
        <w:rPr>
          <w:b/>
          <w:sz w:val="24"/>
        </w:rPr>
        <w:t>YFZC22FC0139</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云浮市中策招标咨询服务有限公司</w:t>
      </w:r>
    </w:p>
    <w:p>
      <w:pPr>
        <w:ind w:firstLine="480"/>
      </w:pPr>
      <w:r>
        <w:rPr/>
        <w:t>你方组织的</w:t>
      </w:r>
      <w:r>
        <w:rPr>
          <w:u w:val="single"/>
        </w:rPr>
        <w:t>车岗镇圩镇保洁项目</w:t>
      </w:r>
      <w:r>
        <w:rPr/>
        <w:t>项目的竞争性磋商[采购项目编号为：</w:t>
      </w:r>
      <w:r>
        <w:rPr>
          <w:u w:val="single"/>
        </w:rPr>
        <w:t>YFZC22FC0139</w:t>
      </w:r>
      <w:r>
        <w:rPr/>
        <w:t>]，我方愿参与响应。</w:t>
      </w:r>
    </w:p>
    <w:p>
      <w:pPr>
        <w:ind w:firstLine="480"/>
      </w:pPr>
      <w:r>
        <w:rPr/>
        <w:t>我方确认收到贵方提供的</w:t>
      </w:r>
      <w:r>
        <w:rPr>
          <w:u w:val="single"/>
        </w:rPr>
        <w:t>车岗镇圩镇保洁项目</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从提交投标（响应）文件的截止之日起60日历天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车岗镇圩镇保洁项目</w:t>
      </w:r>
      <w:r>
        <w:rPr/>
        <w:t>项目采购[采购项目编号为</w:t>
      </w:r>
      <w:r>
        <w:rPr/>
        <w:t>YFZC22FC0139</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新兴县车岗镇人民政府</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云浮市中策招标咨询服务有限公司</w:t>
      </w:r>
    </w:p>
    <w:p>
      <w:pPr>
        <w:ind w:firstLine="480"/>
      </w:pPr>
      <w:r>
        <w:rPr/>
        <w:t>我单位参加贵公司组织的</w:t>
      </w:r>
      <w:r>
        <w:rPr/>
        <w:t>车岗镇圩镇保洁项目</w:t>
      </w:r>
      <w:r>
        <w:rPr/>
        <w:t>（采购项目编号：</w:t>
      </w:r>
      <w:r>
        <w:rPr/>
        <w:t>YFZC22FC0139</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车岗镇圩镇保洁项目</w:t>
      </w:r>
      <w:r>
        <w:rPr/>
        <w:t>项目（采购项目编号：</w:t>
      </w:r>
      <w:r>
        <w:rPr/>
        <w:t>YFZC22FC0139</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