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445321-2022-01240</w:t>
      </w:r>
    </w:p>
    <w:p>
      <w:pPr>
        <w:jc w:val="center"/>
      </w:pPr>
      <w:r>
        <w:rPr>
          <w:b/>
          <w:sz w:val="24"/>
        </w:rPr>
        <w:t>采购项目编号：</w:t>
      </w:r>
      <w:r>
        <w:rPr>
          <w:b/>
          <w:sz w:val="24"/>
        </w:rPr>
        <w:t>YFZC22GC0077</w:t>
      </w:r>
    </w:p>
    <w:p>
      <w:pPr>
        <w:jc w:val="center"/>
      </w:pPr>
      <w:r>
        <w:rPr>
          <w:b/>
          <w:sz w:val="24"/>
        </w:rPr>
        <w:t>项目名称：</w:t>
      </w:r>
      <w:r>
        <w:rPr>
          <w:b/>
          <w:sz w:val="24"/>
        </w:rPr>
        <w:t>广东省云浮市新兴县河头镇中心小学崩塌、滑坡地质灾害治理工程</w:t>
      </w:r>
    </w:p>
    <w:p>
      <w:pPr>
        <w:jc w:val="center"/>
      </w:pPr>
      <w:r>
        <w:rPr>
          <w:b/>
          <w:sz w:val="24"/>
        </w:rPr>
        <w:t>采购人：</w:t>
      </w:r>
      <w:r>
        <w:rPr>
          <w:b/>
          <w:sz w:val="24"/>
        </w:rPr>
        <w:t>新兴县自然资源局</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新兴县自然资源局</w:t>
      </w:r>
      <w:r>
        <w:rPr/>
        <w:t>的委托，采用</w:t>
      </w:r>
      <w:r>
        <w:rPr/>
        <w:t>竞争性磋商</w:t>
      </w:r>
      <w:r>
        <w:rPr/>
        <w:t>方式组织采购</w:t>
      </w:r>
      <w:r>
        <w:rPr/>
        <w:t>广东省云浮市新兴县河头镇中心小学崩塌、滑坡地质灾害治理工程</w:t>
      </w:r>
      <w:r>
        <w:rPr/>
        <w:t>。欢迎符合资格条件的供应商参加。</w:t>
      </w:r>
    </w:p>
    <w:p>
      <w:r>
        <w:rPr>
          <w:b/>
          <w:sz w:val="28"/>
        </w:rPr>
        <w:t>一.项目概述</w:t>
      </w:r>
    </w:p>
    <w:p>
      <w:r>
        <w:rPr>
          <w:b/>
          <w:sz w:val="24"/>
        </w:rPr>
        <w:t>1.名称与编号</w:t>
      </w:r>
    </w:p>
    <w:p>
      <w:pPr>
        <w:ind w:firstLine="480"/>
      </w:pPr>
      <w:r>
        <w:rPr/>
        <w:t>采购项目名称：</w:t>
      </w:r>
      <w:r>
        <w:rPr/>
        <w:t>广东省云浮市新兴县河头镇中心小学崩塌、滑坡地质灾害治理工程</w:t>
      </w:r>
    </w:p>
    <w:p>
      <w:pPr>
        <w:ind w:firstLine="480"/>
      </w:pPr>
      <w:r>
        <w:rPr/>
        <w:t>采购计划编号：</w:t>
      </w:r>
      <w:r>
        <w:rPr/>
        <w:t>445321-2022-01240</w:t>
      </w:r>
    </w:p>
    <w:p>
      <w:pPr>
        <w:ind w:firstLine="480"/>
      </w:pPr>
      <w:r>
        <w:rPr/>
        <w:t>采购项目编号：</w:t>
      </w:r>
      <w:r>
        <w:rPr/>
        <w:t>YFZC22GC0077</w:t>
      </w:r>
    </w:p>
    <w:p>
      <w:pPr>
        <w:ind w:firstLine="480"/>
      </w:pPr>
      <w:r>
        <w:rPr/>
        <w:t>采购方式：</w:t>
      </w:r>
      <w:r>
        <w:rPr/>
        <w:t>竞争性磋商</w:t>
      </w:r>
    </w:p>
    <w:p>
      <w:pPr>
        <w:ind w:firstLine="480"/>
      </w:pPr>
      <w:r>
        <w:rPr/>
        <w:t>预算金额：</w:t>
      </w:r>
      <w:r>
        <w:rPr/>
        <w:t>3,610,714.31</w:t>
      </w:r>
      <w:r>
        <w:rPr/>
        <w:t>元</w:t>
      </w:r>
    </w:p>
    <w:p>
      <w:r>
        <w:rPr>
          <w:b/>
          <w:sz w:val="24"/>
        </w:rPr>
        <w:t>2.项目内容及需求情况（采购项目技术规格、参数及要求）</w:t>
      </w:r>
    </w:p>
    <w:p>
      <w:pPr>
        <w:ind w:firstLine="480"/>
      </w:pPr>
    </w:p>
    <w:p/>
    <w:p>
      <w:r>
        <w:rPr/>
        <w:t>采购包1(广东省云浮市新兴县河头镇中心小学崩塌、滑坡地质灾害治理工程):</w:t>
      </w:r>
    </w:p>
    <w:p>
      <w:r>
        <w:rPr/>
        <w:t>采购包预算金额：3,610,714.31元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其他建筑工程</w:t>
            </w:r>
          </w:p>
        </w:tc>
        <w:tc>
          <w:tcPr>
            <w:tcW w:type="dxa" w:w="2052"/>
          </w:tcPr>
          <w:p>
            <w:r>
              <w:rPr/>
              <w:t>广东省云浮市新兴县河头镇中心小学崩塌、滑坡地质灾害治理工程施工</w:t>
            </w:r>
          </w:p>
        </w:tc>
        <w:tc>
          <w:tcPr>
            <w:tcW w:type="dxa" w:w="977"/>
          </w:tcPr>
          <w:p>
            <w:r>
              <w:rPr/>
              <w:t>1.0000(项)</w:t>
            </w:r>
          </w:p>
        </w:tc>
        <w:tc>
          <w:tcPr>
            <w:tcW w:type="dxa" w:w="977"/>
          </w:tcPr>
          <w:p>
            <w:r>
              <w:rPr/>
              <w:t>详见第二章</w:t>
            </w:r>
          </w:p>
        </w:tc>
        <w:tc>
          <w:tcPr>
            <w:tcW w:type="dxa" w:w="977"/>
          </w:tcPr>
          <w:p>
            <w:r>
              <w:rPr/>
              <w:t>3,610,714.31</w:t>
            </w:r>
          </w:p>
        </w:tc>
        <w:tc>
          <w:tcPr>
            <w:tcW w:type="dxa" w:w="977"/>
          </w:tcPr>
          <w:p>
            <w:r>
              <w:rPr/>
              <w:t>否</w:t>
            </w:r>
          </w:p>
        </w:tc>
      </w:tr>
    </w:tbl>
    <w:p/>
    <w:p>
      <w:r>
        <w:rPr/>
        <w:t>本采购包不接受联合体响应</w:t>
      </w:r>
    </w:p>
    <w:p/>
    <w:p>
      <w:r>
        <w:rPr/>
        <w:t>合同履行期限：自合同签订生效之日起120天内完成。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2）具有良好的商业信誉和健全的财务会计制度：提供2021年度财务报表或2022年任意一个月度/季度财务报表复印件（新成立的企业或提供基本户开户行出具的资信证明复印件）。</w:t>
      </w:r>
    </w:p>
    <w:p/>
    <w:p>
      <w:r>
        <w:rPr/>
        <w:t>3）履行合同所必需的设备和专业技术能力：在响应文件中提供声明函。</w:t>
      </w:r>
    </w:p>
    <w:p/>
    <w:p>
      <w:r>
        <w:rPr/>
        <w:t>4）有依法缴纳税收和社会保障资金的良好记录：提供投标截止日前六个月内任意一个月缴纳税收和社会保险的凭据复印件；依法免税或不需要缴纳社会保障资金的供应商应提供相关证明文件复印件。</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采购包1（广东省云浮市新兴县河头镇中心小学崩塌、滑坡地质灾害治理工程）：</w:t>
      </w:r>
      <w:r>
        <w:rPr/>
        <w:t>采购包整体专门面向中小企业，为预留份额的采购项目。</w:t>
      </w:r>
    </w:p>
    <w:p/>
    <w:p>
      <w:r>
        <w:rPr>
          <w:b/>
          <w:sz w:val="24"/>
        </w:rPr>
        <w:t>3.本项目特定的资格要求：</w:t>
      </w:r>
    </w:p>
    <w:p>
      <w:pPr>
        <w:ind w:firstLine="480"/>
      </w:pPr>
    </w:p>
    <w:p/>
    <w:p>
      <w:r>
        <w:rPr/>
        <w:t>采购包1（广东省云浮市新兴县河头镇中心小学崩塌、滑坡地质灾害治理工程）：</w:t>
      </w:r>
    </w:p>
    <w:p/>
    <w:p>
      <w:r>
        <w:rPr/>
        <w:t>1)（1）供应商须具备法律、行政法规规定的其他条件（在响应文件中提供声明函）。 （2）供应商须是在中华人民共和国境内注册的具备独立承担民事责任能力的法人或其它组织。 （3）供应商须具备自然资源主管部门核发的地质灾害治理工程施工单位甲级资质证书，提供有效期内的证书复印件并加盖供应商公章。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云浮市公共资源交易网（http：//ggzy.yunfu.gov.cn/）、云浮市中策招标咨询服务有限公司（www.yfzczb.com）</w:t>
      </w:r>
    </w:p>
    <w:p>
      <w:r>
        <w:rPr>
          <w:b/>
          <w:sz w:val="28"/>
        </w:rPr>
        <w:t>六.本项目联系方式：</w:t>
      </w:r>
    </w:p>
    <w:p>
      <w:r>
        <w:rPr>
          <w:b/>
          <w:sz w:val="24"/>
        </w:rPr>
        <w:t>1.采购人信息</w:t>
      </w:r>
    </w:p>
    <w:p>
      <w:pPr>
        <w:ind w:firstLine="480"/>
      </w:pPr>
      <w:r>
        <w:rPr/>
        <w:t>名称：</w:t>
      </w:r>
      <w:r>
        <w:rPr/>
        <w:t>新兴县自然资源局</w:t>
      </w:r>
    </w:p>
    <w:p>
      <w:pPr>
        <w:ind w:firstLine="480"/>
      </w:pPr>
      <w:r>
        <w:rPr/>
        <w:t>地址：</w:t>
      </w:r>
      <w:r>
        <w:rPr/>
        <w:t>新兴县新城镇广兴大道中31号</w:t>
      </w:r>
    </w:p>
    <w:p>
      <w:pPr>
        <w:ind w:firstLine="480"/>
      </w:pPr>
      <w:r>
        <w:rPr/>
        <w:t>联系方式：</w:t>
      </w:r>
      <w:r>
        <w:rPr/>
        <w:t>钟小姐 0766-2976416</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0766-2922133</w:t>
      </w:r>
    </w:p>
    <w:p>
      <w:r>
        <w:rPr>
          <w:b/>
          <w:sz w:val="24"/>
        </w:rPr>
        <w:t>3.项目联系方式</w:t>
      </w:r>
    </w:p>
    <w:p>
      <w:pPr>
        <w:ind w:firstLine="480"/>
      </w:pPr>
      <w:r>
        <w:rPr/>
        <w:t>项目联系人：</w:t>
      </w:r>
      <w:r>
        <w:rPr/>
        <w:t>简小姐</w:t>
      </w:r>
    </w:p>
    <w:p>
      <w:pPr>
        <w:ind w:firstLine="480"/>
      </w:pPr>
      <w:r>
        <w:rPr/>
        <w:t>电话：</w:t>
      </w:r>
      <w:r>
        <w:rPr/>
        <w:t>0766-2922133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w:t>
      </w:r>
      <w:r>
        <w:rPr>
          <w:sz w:val="21"/>
        </w:rPr>
        <w:t>项目背景：为保护周边群众生命财产安全，计划实施广东省云浮市新兴县河头镇中心小学崩塌、滑坡地质灾害治理工程。</w:t>
      </w:r>
    </w:p>
    <w:p>
      <w:r>
        <w:rPr>
          <w:sz w:val="21"/>
        </w:rPr>
        <w:t>（</w:t>
      </w:r>
      <w:r>
        <w:rPr>
          <w:sz w:val="21"/>
        </w:rPr>
        <w:t>2</w:t>
      </w:r>
      <w:r>
        <w:rPr>
          <w:sz w:val="21"/>
        </w:rPr>
        <w:t>）</w:t>
      </w:r>
      <w:r>
        <w:rPr>
          <w:sz w:val="21"/>
        </w:rPr>
        <w:t>项目主要建设内容：削坡工程、锚杆护坡、格构梁护坡、挡墙工程、截排水工程、绿化工程等内容</w:t>
      </w:r>
      <w:r>
        <w:rPr>
          <w:sz w:val="21"/>
        </w:rPr>
        <w:t>。</w:t>
      </w:r>
    </w:p>
    <w:p>
      <w:r>
        <w:rPr>
          <w:sz w:val="21"/>
        </w:rPr>
        <w:t>（</w:t>
      </w:r>
      <w:r>
        <w:rPr>
          <w:sz w:val="21"/>
        </w:rPr>
        <w:t>3</w:t>
      </w:r>
      <w:r>
        <w:rPr>
          <w:sz w:val="21"/>
        </w:rPr>
        <w:t>）</w:t>
      </w:r>
      <w:r>
        <w:rPr>
          <w:sz w:val="21"/>
        </w:rPr>
        <w:t>项目建设地点：新兴县河头镇中心小学旁。</w:t>
      </w:r>
    </w:p>
    <w:p>
      <w:r>
        <w:rPr>
          <w:b/>
          <w:sz w:val="22"/>
        </w:rPr>
        <w:t>2</w:t>
      </w:r>
      <w:r>
        <w:rPr>
          <w:b/>
          <w:sz w:val="22"/>
        </w:rPr>
        <w:t>、工程量清单</w:t>
      </w:r>
    </w:p>
    <w:p>
      <w:pPr>
        <w:ind w:firstLine="482"/>
        <w:jc w:val="center"/>
      </w:pPr>
      <w:r>
        <w:rPr>
          <w:b/>
          <w:sz w:val="24"/>
        </w:rPr>
        <w:t>（</w:t>
      </w:r>
      <w:r>
        <w:rPr>
          <w:b/>
          <w:sz w:val="24"/>
        </w:rPr>
        <w:t>1）</w:t>
      </w:r>
      <w:r>
        <w:rPr>
          <w:b/>
          <w:sz w:val="24"/>
        </w:rPr>
        <w:t>崩塌、滑坡地质灾害治理工程</w:t>
      </w:r>
    </w:p>
    <w:tbl>
      <w:tblPr>
        <w:tblW w:w="0" w:type="auto"/>
        <w:tblBorders>
          <w:top w:val="none" w:color="000000" w:sz="4"/>
          <w:left w:val="none" w:color="000000" w:sz="4"/>
          <w:bottom w:val="none" w:color="000000" w:sz="4"/>
          <w:right w:val="none" w:color="000000" w:sz="4"/>
          <w:insideH w:val="none"/>
          <w:insideV w:val="none"/>
        </w:tblBorders>
      </w:tblPr>
      <w:tblGrid>
        <w:gridCol w:w="590"/>
        <w:gridCol w:w="1615"/>
        <w:gridCol w:w="4424"/>
        <w:gridCol w:w="932"/>
        <w:gridCol w:w="746"/>
      </w:tblGrid>
      <w:tr>
        <w:tc>
          <w:tcPr>
            <w:tcW w:type="dxa" w:w="590"/>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615"/>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424"/>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32"/>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746"/>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90"/>
            <w:tcBorders>
              <w:top w:val="none" w:color="000000" w:sz="4"/>
              <w:left w:val="single" w:color="000000" w:sz="4"/>
              <w:bottom w:val="single" w:color="000000" w:sz="4"/>
              <w:right w:val="single" w:color="000000" w:sz="4"/>
            </w:tcBorders>
            <w:vAlign w:val="top"/>
          </w:tcPr>
          <w:p>
            <w:pPr>
              <w:jc w:val="center"/>
            </w:pP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挡墙</w:t>
            </w:r>
          </w:p>
        </w:tc>
        <w:tc>
          <w:tcPr>
            <w:tcW w:type="dxa" w:w="4424"/>
            <w:tcBorders>
              <w:top w:val="none" w:color="000000" w:sz="4"/>
              <w:left w:val="none" w:color="000000" w:sz="4"/>
              <w:bottom w:val="single" w:color="000000" w:sz="4"/>
              <w:right w:val="single" w:color="000000" w:sz="4"/>
            </w:tcBorders>
            <w:vAlign w:val="top"/>
          </w:tcPr>
          <w:p>
            <w:pPr>
              <w:jc w:val="left"/>
            </w:pPr>
          </w:p>
        </w:tc>
        <w:tc>
          <w:tcPr>
            <w:tcW w:type="dxa" w:w="932"/>
            <w:tcBorders>
              <w:top w:val="none" w:color="000000" w:sz="4"/>
              <w:left w:val="none" w:color="000000" w:sz="4"/>
              <w:bottom w:val="single" w:color="000000" w:sz="4"/>
              <w:right w:val="single" w:color="000000" w:sz="4"/>
            </w:tcBorders>
            <w:vAlign w:val="top"/>
          </w:tcPr>
          <w:p>
            <w:pPr>
              <w:jc w:val="left"/>
            </w:pPr>
          </w:p>
        </w:tc>
        <w:tc>
          <w:tcPr>
            <w:tcW w:type="dxa" w:w="746"/>
            <w:tcBorders>
              <w:top w:val="none" w:color="000000" w:sz="4"/>
              <w:left w:val="none" w:color="000000" w:sz="4"/>
              <w:bottom w:val="single" w:color="000000" w:sz="4"/>
              <w:right w:val="single" w:color="000000" w:sz="4"/>
            </w:tcBorders>
            <w:vAlign w:val="top"/>
          </w:tcPr>
          <w:p>
            <w:pPr>
              <w:jc w:val="right"/>
            </w:pP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混凝土挡墙墙身</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1.混凝土强度等级:C25</w:t>
            </w:r>
            <w:r>
              <w:br/>
            </w:r>
            <w:r>
              <w:rPr>
                <w:color w:val="000000"/>
                <w:sz w:val="21"/>
              </w:rPr>
              <w:t>2.泄水孔材料品种、规格:Φ50PVC管</w:t>
            </w:r>
            <w:r>
              <w:br/>
            </w:r>
            <w:r>
              <w:rPr>
                <w:color w:val="000000"/>
                <w:sz w:val="21"/>
              </w:rPr>
              <w:t>3.滤水层要求:级配砾石</w:t>
            </w:r>
            <w:r>
              <w:br/>
            </w:r>
            <w:r>
              <w:rPr>
                <w:color w:val="000000"/>
                <w:sz w:val="21"/>
              </w:rPr>
              <w:t>4.沉降缝要求:沥青麻丝</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69.08</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混凝土垫层</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1.混凝土强度等级:C15</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4.77</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1.土壤类别:综合</w:t>
            </w:r>
            <w:r>
              <w:br/>
            </w:r>
            <w:r>
              <w:rPr>
                <w:color w:val="000000"/>
                <w:sz w:val="21"/>
              </w:rPr>
              <w:t>2.挖土深度:深2m以内</w:t>
            </w:r>
            <w:r>
              <w:br/>
            </w:r>
            <w:r>
              <w:rPr>
                <w:color w:val="000000"/>
                <w:sz w:val="21"/>
              </w:rPr>
              <w:t>3.开挖方式：人机配合</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53.49</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1.填方材料品种:一般土壤</w:t>
            </w:r>
            <w:r>
              <w:br/>
            </w:r>
            <w:r>
              <w:rPr>
                <w:color w:val="000000"/>
                <w:sz w:val="21"/>
              </w:rPr>
              <w:t>2.密实度:按规范要求</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23.48</w:t>
            </w:r>
          </w:p>
        </w:tc>
      </w:tr>
      <w:tr>
        <w:tc>
          <w:tcPr>
            <w:tcW w:type="dxa" w:w="590"/>
            <w:tcBorders>
              <w:top w:val="none" w:color="000000" w:sz="4"/>
              <w:left w:val="single" w:color="000000" w:sz="4"/>
              <w:bottom w:val="single" w:color="000000" w:sz="4"/>
              <w:right w:val="single" w:color="000000" w:sz="4"/>
            </w:tcBorders>
            <w:vAlign w:val="top"/>
          </w:tcPr>
          <w:p>
            <w:pPr>
              <w:jc w:val="center"/>
            </w:pP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排水工程</w:t>
            </w:r>
          </w:p>
        </w:tc>
        <w:tc>
          <w:tcPr>
            <w:tcW w:type="dxa" w:w="4424"/>
            <w:tcBorders>
              <w:top w:val="none" w:color="000000" w:sz="4"/>
              <w:left w:val="none" w:color="000000" w:sz="4"/>
              <w:bottom w:val="single" w:color="000000" w:sz="4"/>
              <w:right w:val="single" w:color="000000" w:sz="4"/>
            </w:tcBorders>
            <w:vAlign w:val="top"/>
          </w:tcPr>
          <w:p>
            <w:pPr>
              <w:jc w:val="left"/>
            </w:pPr>
          </w:p>
        </w:tc>
        <w:tc>
          <w:tcPr>
            <w:tcW w:type="dxa" w:w="932"/>
            <w:tcBorders>
              <w:top w:val="none" w:color="000000" w:sz="4"/>
              <w:left w:val="none" w:color="000000" w:sz="4"/>
              <w:bottom w:val="single" w:color="000000" w:sz="4"/>
              <w:right w:val="single" w:color="000000" w:sz="4"/>
            </w:tcBorders>
            <w:vAlign w:val="top"/>
          </w:tcPr>
          <w:p>
            <w:pPr>
              <w:jc w:val="left"/>
            </w:pPr>
          </w:p>
        </w:tc>
        <w:tc>
          <w:tcPr>
            <w:tcW w:type="dxa" w:w="746"/>
            <w:tcBorders>
              <w:top w:val="none" w:color="000000" w:sz="4"/>
              <w:left w:val="none" w:color="000000" w:sz="4"/>
              <w:bottom w:val="single" w:color="000000" w:sz="4"/>
              <w:right w:val="single" w:color="000000" w:sz="4"/>
            </w:tcBorders>
            <w:vAlign w:val="top"/>
          </w:tcPr>
          <w:p>
            <w:pPr>
              <w:jc w:val="right"/>
            </w:pP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2.挖土深度:深2m以内</w:t>
            </w:r>
            <w:r>
              <w:br/>
            </w:r>
            <w:r>
              <w:rPr>
                <w:color w:val="000000"/>
                <w:sz w:val="21"/>
              </w:rPr>
              <w:t>3.场内运输：综合考虑</w:t>
            </w:r>
            <w:r>
              <w:br/>
            </w:r>
            <w:r>
              <w:rPr>
                <w:color w:val="000000"/>
                <w:sz w:val="21"/>
              </w:rPr>
              <w:t>4.开挖方式：人机配合开挖</w:t>
            </w:r>
            <w:r>
              <w:br/>
            </w:r>
            <w:r>
              <w:rPr>
                <w:color w:val="000000"/>
                <w:sz w:val="21"/>
              </w:rPr>
              <w:t>5.部位：截水沟</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832.86</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挖沟槽土方</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2.挖土深度:深2m以内</w:t>
            </w:r>
            <w:r>
              <w:br/>
            </w:r>
            <w:r>
              <w:rPr>
                <w:color w:val="000000"/>
                <w:sz w:val="21"/>
              </w:rPr>
              <w:t>3.场内运输：综合考虑</w:t>
            </w:r>
            <w:r>
              <w:br/>
            </w:r>
            <w:r>
              <w:rPr>
                <w:color w:val="000000"/>
                <w:sz w:val="21"/>
              </w:rPr>
              <w:t>4.开挖方式：人械开挖</w:t>
            </w:r>
            <w:r>
              <w:br/>
            </w:r>
            <w:r>
              <w:rPr>
                <w:color w:val="000000"/>
                <w:sz w:val="21"/>
              </w:rPr>
              <w:t>5.部位：坡底排水沟、井</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387.62</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挖沟槽石方</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1.岩石类别:软岩（强风化砂岩）</w:t>
            </w:r>
            <w:r>
              <w:br/>
            </w:r>
            <w:r>
              <w:rPr>
                <w:color w:val="000000"/>
                <w:sz w:val="21"/>
              </w:rPr>
              <w:t>2.开凿深度:2m以内</w:t>
            </w:r>
            <w:r>
              <w:br/>
            </w:r>
            <w:r>
              <w:rPr>
                <w:color w:val="000000"/>
                <w:sz w:val="21"/>
              </w:rPr>
              <w:t>3.开挖方式：凿岩机破碎岩石 软岩</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163.17</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1.填方材料品种:一般土壤</w:t>
            </w:r>
            <w:r>
              <w:br/>
            </w:r>
            <w:r>
              <w:rPr>
                <w:color w:val="000000"/>
                <w:sz w:val="21"/>
              </w:rPr>
              <w:t>2.密实度:按规范要求</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712.79</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截水沟</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1.断面尺寸:详见大样图</w:t>
            </w:r>
            <w:r>
              <w:br/>
            </w:r>
            <w:r>
              <w:rPr>
                <w:color w:val="000000"/>
                <w:sz w:val="21"/>
              </w:rPr>
              <w:t>2.垫层：Ｃ15混凝土，厚100mm</w:t>
            </w:r>
            <w:r>
              <w:br/>
            </w:r>
            <w:r>
              <w:rPr>
                <w:color w:val="000000"/>
                <w:sz w:val="21"/>
              </w:rPr>
              <w:t>3.沟体材料:C25钢筋混凝土</w:t>
            </w:r>
            <w:r>
              <w:br/>
            </w:r>
            <w:r>
              <w:rPr>
                <w:color w:val="000000"/>
                <w:sz w:val="21"/>
              </w:rPr>
              <w:t>4.钢筋规格:φ8圆钢</w:t>
            </w:r>
            <w:r>
              <w:br/>
            </w:r>
            <w:r>
              <w:rPr>
                <w:color w:val="000000"/>
                <w:sz w:val="21"/>
              </w:rPr>
              <w:t>5.沉降缝：20m一条，内塞油浸麻丝</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321.88</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坡腰排水沟</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1.断面尺寸:300*300</w:t>
            </w:r>
            <w:r>
              <w:br/>
            </w:r>
            <w:r>
              <w:rPr>
                <w:color w:val="000000"/>
                <w:sz w:val="21"/>
              </w:rPr>
              <w:t>2.基础、垫层:材料品种、厚度:C15混凝土垫层，厚100mm</w:t>
            </w:r>
            <w:r>
              <w:br/>
            </w:r>
            <w:r>
              <w:rPr>
                <w:color w:val="000000"/>
                <w:sz w:val="21"/>
              </w:rPr>
              <w:t>3.沟体材料:C25混凝土</w:t>
            </w:r>
            <w:r>
              <w:br/>
            </w:r>
            <w:r>
              <w:rPr>
                <w:color w:val="000000"/>
                <w:sz w:val="21"/>
              </w:rPr>
              <w:t>4.沉降缝：20m一条，内塞油浸麻丝</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155</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坡底排水沟</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1.断面尺寸:500*500</w:t>
            </w:r>
            <w:r>
              <w:br/>
            </w:r>
            <w:r>
              <w:rPr>
                <w:color w:val="000000"/>
                <w:sz w:val="21"/>
              </w:rPr>
              <w:t>2.基础、垫层:材料品种、厚度:C15混凝土垫层，厚100mm</w:t>
            </w:r>
            <w:r>
              <w:br/>
            </w:r>
            <w:r>
              <w:rPr>
                <w:color w:val="000000"/>
                <w:sz w:val="21"/>
              </w:rPr>
              <w:t>3.沟体材料:C25混凝土</w:t>
            </w:r>
            <w:r>
              <w:br/>
            </w:r>
            <w:r>
              <w:rPr>
                <w:color w:val="000000"/>
                <w:sz w:val="21"/>
              </w:rPr>
              <w:t>4.沉降缝：25m一条，内塞油浸麻丝</w:t>
            </w:r>
            <w:r>
              <w:br/>
            </w:r>
            <w:r>
              <w:rPr>
                <w:color w:val="000000"/>
                <w:sz w:val="21"/>
              </w:rPr>
              <w:t>5.盖板：C25钢筋混凝土盖板</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218</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跌水踏步</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1.断面尺寸:600*600mm</w:t>
            </w:r>
            <w:r>
              <w:br/>
            </w:r>
            <w:r>
              <w:rPr>
                <w:color w:val="000000"/>
                <w:sz w:val="21"/>
              </w:rPr>
              <w:t>2.沟体材料:C25钢筋混凝土</w:t>
            </w:r>
            <w:r>
              <w:br/>
            </w:r>
            <w:r>
              <w:rPr>
                <w:color w:val="000000"/>
                <w:sz w:val="21"/>
              </w:rPr>
              <w:t>3.钢筋规格:φ8、φ12圆钢</w:t>
            </w:r>
            <w:r>
              <w:br/>
            </w:r>
            <w:r>
              <w:rPr>
                <w:color w:val="000000"/>
                <w:sz w:val="21"/>
              </w:rPr>
              <w:t>4.沉降缝：25m一条，内塞油浸麻丝</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34</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沉淀池</w:t>
            </w:r>
            <w:r>
              <w:rPr>
                <w:color w:val="000000"/>
                <w:sz w:val="21"/>
              </w:rPr>
              <w:t>(带盖板）</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1.池截面:1000*1000*1000mm,详见大样图</w:t>
            </w:r>
            <w:r>
              <w:br/>
            </w:r>
            <w:r>
              <w:rPr>
                <w:color w:val="000000"/>
                <w:sz w:val="21"/>
              </w:rPr>
              <w:t>2.垫层:C15混凝土垫层，厚100mm，碎石垫层厚100mm</w:t>
            </w:r>
            <w:r>
              <w:br/>
            </w:r>
            <w:r>
              <w:rPr>
                <w:color w:val="000000"/>
                <w:sz w:val="21"/>
              </w:rPr>
              <w:t>3.沉淀池池身:M7.5水泥砂浆砌筑,ＭＵ10砖墙厚240mm，1：2水泥砂浆内侧抹灰</w:t>
            </w:r>
            <w:r>
              <w:br/>
            </w:r>
            <w:r>
              <w:rPr>
                <w:color w:val="000000"/>
                <w:sz w:val="21"/>
              </w:rPr>
              <w:t>4.C25钢筋混凝土盖板</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3</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沉淀池（带盖板）</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1.池截面:2000*2000*1500mm,详见大样图</w:t>
            </w:r>
            <w:r>
              <w:br/>
            </w:r>
            <w:r>
              <w:rPr>
                <w:color w:val="000000"/>
                <w:sz w:val="21"/>
              </w:rPr>
              <w:t>2.垫层:C15混凝土垫层，厚100mm，碎石垫层厚100mm</w:t>
            </w:r>
            <w:r>
              <w:br/>
            </w:r>
            <w:r>
              <w:rPr>
                <w:color w:val="000000"/>
                <w:sz w:val="21"/>
              </w:rPr>
              <w:t>3.沉淀池池身:M7.5水泥砂浆砌筑,ＭＵ10砖墙厚240mm，1：2水泥砂浆内侧抹灰</w:t>
            </w:r>
            <w:r>
              <w:br/>
            </w:r>
            <w:r>
              <w:rPr>
                <w:color w:val="000000"/>
                <w:sz w:val="21"/>
              </w:rPr>
              <w:t>4.C25钢筋混凝土井盖</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座</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1</w:t>
            </w:r>
          </w:p>
        </w:tc>
      </w:tr>
      <w:tr>
        <w:tc>
          <w:tcPr>
            <w:tcW w:type="dxa" w:w="590"/>
            <w:tcBorders>
              <w:top w:val="none" w:color="000000" w:sz="4"/>
              <w:left w:val="single" w:color="000000" w:sz="4"/>
              <w:bottom w:val="single" w:color="000000" w:sz="4"/>
              <w:right w:val="single" w:color="000000" w:sz="4"/>
            </w:tcBorders>
            <w:vAlign w:val="top"/>
          </w:tcPr>
          <w:p>
            <w:pPr>
              <w:jc w:val="center"/>
            </w:pP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格构梁及锚杆工程</w:t>
            </w:r>
          </w:p>
        </w:tc>
        <w:tc>
          <w:tcPr>
            <w:tcW w:type="dxa" w:w="4424"/>
            <w:tcBorders>
              <w:top w:val="none" w:color="000000" w:sz="4"/>
              <w:left w:val="none" w:color="000000" w:sz="4"/>
              <w:bottom w:val="single" w:color="000000" w:sz="4"/>
              <w:right w:val="single" w:color="000000" w:sz="4"/>
            </w:tcBorders>
            <w:vAlign w:val="top"/>
          </w:tcPr>
          <w:p>
            <w:pPr>
              <w:jc w:val="left"/>
            </w:pPr>
          </w:p>
        </w:tc>
        <w:tc>
          <w:tcPr>
            <w:tcW w:type="dxa" w:w="932"/>
            <w:tcBorders>
              <w:top w:val="none" w:color="000000" w:sz="4"/>
              <w:left w:val="none" w:color="000000" w:sz="4"/>
              <w:bottom w:val="single" w:color="000000" w:sz="4"/>
              <w:right w:val="single" w:color="000000" w:sz="4"/>
            </w:tcBorders>
            <w:vAlign w:val="top"/>
          </w:tcPr>
          <w:p>
            <w:pPr>
              <w:jc w:val="left"/>
            </w:pPr>
          </w:p>
        </w:tc>
        <w:tc>
          <w:tcPr>
            <w:tcW w:type="dxa" w:w="746"/>
            <w:tcBorders>
              <w:top w:val="none" w:color="000000" w:sz="4"/>
              <w:left w:val="none" w:color="000000" w:sz="4"/>
              <w:bottom w:val="single" w:color="000000" w:sz="4"/>
              <w:right w:val="single" w:color="000000" w:sz="4"/>
            </w:tcBorders>
            <w:vAlign w:val="top"/>
          </w:tcPr>
          <w:p>
            <w:pPr>
              <w:jc w:val="right"/>
            </w:pP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锚杆</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1.地层情况:综合考虑</w:t>
            </w:r>
            <w:r>
              <w:br/>
            </w:r>
            <w:r>
              <w:rPr>
                <w:color w:val="000000"/>
                <w:sz w:val="21"/>
              </w:rPr>
              <w:t>2.锚杆(索)类型、部位:钢筋锚杆</w:t>
            </w:r>
            <w:r>
              <w:br/>
            </w:r>
            <w:r>
              <w:rPr>
                <w:color w:val="000000"/>
                <w:sz w:val="21"/>
              </w:rPr>
              <w:t>3.钻孔直径、深度:钻孔直径130mm，深度12米</w:t>
            </w:r>
            <w:r>
              <w:br/>
            </w:r>
            <w:r>
              <w:rPr>
                <w:color w:val="000000"/>
                <w:sz w:val="21"/>
              </w:rPr>
              <w:t>4.杆体材料品种、规格、数量:Φ25钢筋，螺纹钢）</w:t>
            </w:r>
            <w:r>
              <w:br/>
            </w:r>
            <w:r>
              <w:rPr>
                <w:color w:val="000000"/>
                <w:sz w:val="21"/>
              </w:rPr>
              <w:t>5.浆液种类、强度等级:纯水泥浆，水灰比为0.4～0.5，采用42.5水泥。</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6650</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钢筋托架</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1.材料种类:HPB400热轧钢筋（Ⅲ级）</w:t>
            </w:r>
            <w:r>
              <w:br/>
            </w:r>
            <w:r>
              <w:rPr>
                <w:color w:val="000000"/>
                <w:sz w:val="21"/>
              </w:rPr>
              <w:t>2.钢筋规格:Φ10mm以外螺纹钢</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0.75</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格构梁</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1.部位:格构梁</w:t>
            </w:r>
            <w:r>
              <w:br/>
            </w:r>
            <w:r>
              <w:rPr>
                <w:color w:val="000000"/>
                <w:sz w:val="21"/>
              </w:rPr>
              <w:t>2.混凝土强度等级:C25</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307.98</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1.材料种类:HPB400热轧钢筋（Ⅲ级）</w:t>
            </w:r>
            <w:r>
              <w:br/>
            </w:r>
            <w:r>
              <w:rPr>
                <w:color w:val="000000"/>
                <w:sz w:val="21"/>
              </w:rPr>
              <w:t>2.钢筋规格:Φ10mm以外螺纹钢</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17.33</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1.材料种类:HPB300</w:t>
            </w:r>
            <w:r>
              <w:br/>
            </w:r>
            <w:r>
              <w:rPr>
                <w:color w:val="000000"/>
                <w:sz w:val="21"/>
              </w:rPr>
              <w:t>2.钢筋规格:Φ10mm以内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5.65</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挖沟槽土方（刻槽）</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1.土壤类别:一、二类土</w:t>
            </w:r>
            <w:r>
              <w:br/>
            </w:r>
            <w:r>
              <w:rPr>
                <w:color w:val="000000"/>
                <w:sz w:val="21"/>
              </w:rPr>
              <w:t>2.挖土深度:深0.1m以内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32.07</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挖沟槽石方（刻槽）</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1.岩石类别:软岩（强风化砂岩）</w:t>
            </w:r>
            <w:r>
              <w:br/>
            </w:r>
            <w:r>
              <w:rPr>
                <w:color w:val="000000"/>
                <w:sz w:val="21"/>
              </w:rPr>
              <w:t>2.开凿深度:0.1m以内</w:t>
            </w:r>
            <w:r>
              <w:br/>
            </w:r>
            <w:r>
              <w:rPr>
                <w:color w:val="000000"/>
                <w:sz w:val="21"/>
              </w:rPr>
              <w:t>3.开挖方式：人工开凿</w:t>
            </w:r>
            <w:r>
              <w:br/>
            </w:r>
            <w:r>
              <w:rPr>
                <w:color w:val="000000"/>
                <w:sz w:val="21"/>
              </w:rPr>
              <w:t>4.场内运输：人工运20米内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70.59</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变形缝</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1.类别:伸缩缝</w:t>
            </w:r>
            <w:r>
              <w:br/>
            </w:r>
            <w:r>
              <w:rPr>
                <w:color w:val="000000"/>
                <w:sz w:val="21"/>
              </w:rPr>
              <w:t>2.材料品种、规格:缝宽20mm，内填沥青麻筋或沥青木板</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205.32</w:t>
            </w:r>
          </w:p>
        </w:tc>
      </w:tr>
      <w:tr>
        <w:tc>
          <w:tcPr>
            <w:tcW w:type="dxa" w:w="590"/>
            <w:tcBorders>
              <w:top w:val="none" w:color="000000" w:sz="4"/>
              <w:left w:val="single" w:color="000000" w:sz="4"/>
              <w:bottom w:val="single" w:color="000000" w:sz="4"/>
              <w:right w:val="single" w:color="000000" w:sz="4"/>
            </w:tcBorders>
            <w:vAlign w:val="top"/>
          </w:tcPr>
          <w:p>
            <w:pPr>
              <w:jc w:val="center"/>
            </w:pP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平台硬化及施工便道硬化</w:t>
            </w:r>
          </w:p>
        </w:tc>
        <w:tc>
          <w:tcPr>
            <w:tcW w:type="dxa" w:w="4424"/>
            <w:tcBorders>
              <w:top w:val="none" w:color="000000" w:sz="4"/>
              <w:left w:val="none" w:color="000000" w:sz="4"/>
              <w:bottom w:val="single" w:color="000000" w:sz="4"/>
              <w:right w:val="single" w:color="000000" w:sz="4"/>
            </w:tcBorders>
            <w:vAlign w:val="top"/>
          </w:tcPr>
          <w:p>
            <w:pPr>
              <w:jc w:val="left"/>
            </w:pPr>
          </w:p>
        </w:tc>
        <w:tc>
          <w:tcPr>
            <w:tcW w:type="dxa" w:w="932"/>
            <w:tcBorders>
              <w:top w:val="none" w:color="000000" w:sz="4"/>
              <w:left w:val="none" w:color="000000" w:sz="4"/>
              <w:bottom w:val="single" w:color="000000" w:sz="4"/>
              <w:right w:val="single" w:color="000000" w:sz="4"/>
            </w:tcBorders>
            <w:vAlign w:val="top"/>
          </w:tcPr>
          <w:p>
            <w:pPr>
              <w:jc w:val="left"/>
            </w:pPr>
          </w:p>
        </w:tc>
        <w:tc>
          <w:tcPr>
            <w:tcW w:type="dxa" w:w="746"/>
            <w:tcBorders>
              <w:top w:val="none" w:color="000000" w:sz="4"/>
              <w:left w:val="none" w:color="000000" w:sz="4"/>
              <w:bottom w:val="single" w:color="000000" w:sz="4"/>
              <w:right w:val="single" w:color="000000" w:sz="4"/>
            </w:tcBorders>
            <w:vAlign w:val="top"/>
          </w:tcPr>
          <w:p>
            <w:pPr>
              <w:jc w:val="right"/>
            </w:pP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水泥混凝土</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1.混凝土强度等级:C20</w:t>
            </w:r>
            <w:r>
              <w:br/>
            </w:r>
            <w:r>
              <w:rPr>
                <w:color w:val="000000"/>
                <w:sz w:val="21"/>
              </w:rPr>
              <w:t>2.厚度:20cm</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595</w:t>
            </w:r>
          </w:p>
        </w:tc>
      </w:tr>
      <w:tr>
        <w:tc>
          <w:tcPr>
            <w:tcW w:type="dxa" w:w="590"/>
            <w:tcBorders>
              <w:top w:val="none" w:color="000000" w:sz="4"/>
              <w:left w:val="single" w:color="000000" w:sz="4"/>
              <w:bottom w:val="single" w:color="000000" w:sz="4"/>
              <w:right w:val="single" w:color="000000" w:sz="4"/>
            </w:tcBorders>
            <w:vAlign w:val="top"/>
          </w:tcPr>
          <w:p>
            <w:pPr>
              <w:jc w:val="center"/>
            </w:pP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余方外运</w:t>
            </w:r>
          </w:p>
        </w:tc>
        <w:tc>
          <w:tcPr>
            <w:tcW w:type="dxa" w:w="4424"/>
            <w:tcBorders>
              <w:top w:val="none" w:color="000000" w:sz="4"/>
              <w:left w:val="none" w:color="000000" w:sz="4"/>
              <w:bottom w:val="single" w:color="000000" w:sz="4"/>
              <w:right w:val="single" w:color="000000" w:sz="4"/>
            </w:tcBorders>
            <w:vAlign w:val="top"/>
          </w:tcPr>
          <w:p>
            <w:pPr>
              <w:jc w:val="left"/>
            </w:pPr>
          </w:p>
        </w:tc>
        <w:tc>
          <w:tcPr>
            <w:tcW w:type="dxa" w:w="932"/>
            <w:tcBorders>
              <w:top w:val="none" w:color="000000" w:sz="4"/>
              <w:left w:val="none" w:color="000000" w:sz="4"/>
              <w:bottom w:val="single" w:color="000000" w:sz="4"/>
              <w:right w:val="single" w:color="000000" w:sz="4"/>
            </w:tcBorders>
            <w:vAlign w:val="top"/>
          </w:tcPr>
          <w:p>
            <w:pPr>
              <w:jc w:val="left"/>
            </w:pPr>
          </w:p>
        </w:tc>
        <w:tc>
          <w:tcPr>
            <w:tcW w:type="dxa" w:w="746"/>
            <w:tcBorders>
              <w:top w:val="none" w:color="000000" w:sz="4"/>
              <w:left w:val="none" w:color="000000" w:sz="4"/>
              <w:bottom w:val="single" w:color="000000" w:sz="4"/>
              <w:right w:val="single" w:color="000000" w:sz="4"/>
            </w:tcBorders>
            <w:vAlign w:val="top"/>
          </w:tcPr>
          <w:p>
            <w:pPr>
              <w:jc w:val="right"/>
            </w:pP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1.废弃料品种:土方</w:t>
            </w:r>
            <w:r>
              <w:br/>
            </w:r>
            <w:r>
              <w:rPr>
                <w:color w:val="000000"/>
                <w:sz w:val="21"/>
              </w:rPr>
              <w:t>2.运距:5公里内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569.77</w:t>
            </w:r>
          </w:p>
        </w:tc>
      </w:tr>
      <w:tr>
        <w:tc>
          <w:tcPr>
            <w:tcW w:type="dxa" w:w="590"/>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615"/>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424"/>
            <w:tcBorders>
              <w:top w:val="none" w:color="000000" w:sz="4"/>
              <w:left w:val="none" w:color="000000" w:sz="4"/>
              <w:bottom w:val="single" w:color="000000" w:sz="4"/>
              <w:right w:val="single" w:color="000000" w:sz="4"/>
            </w:tcBorders>
            <w:vAlign w:val="top"/>
          </w:tcPr>
          <w:p>
            <w:pPr>
              <w:jc w:val="left"/>
            </w:pPr>
            <w:r>
              <w:rPr>
                <w:color w:val="000000"/>
                <w:sz w:val="21"/>
              </w:rPr>
              <w:t>1.废弃料品种:石方</w:t>
            </w:r>
            <w:r>
              <w:br/>
            </w:r>
            <w:r>
              <w:rPr>
                <w:color w:val="000000"/>
                <w:sz w:val="21"/>
              </w:rPr>
              <w:t>2.运距:5公里内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46"/>
            <w:tcBorders>
              <w:top w:val="none" w:color="000000" w:sz="4"/>
              <w:left w:val="none" w:color="000000" w:sz="4"/>
              <w:bottom w:val="single" w:color="000000" w:sz="4"/>
              <w:right w:val="single" w:color="000000" w:sz="4"/>
            </w:tcBorders>
            <w:vAlign w:val="top"/>
          </w:tcPr>
          <w:p>
            <w:pPr>
              <w:jc w:val="right"/>
            </w:pPr>
            <w:r>
              <w:rPr>
                <w:color w:val="000000"/>
                <w:sz w:val="21"/>
              </w:rPr>
              <w:t>245.75</w:t>
            </w:r>
          </w:p>
        </w:tc>
      </w:tr>
    </w:tbl>
    <w:p>
      <w:pPr>
        <w:jc w:val="center"/>
      </w:pPr>
      <w:r>
        <w:rPr>
          <w:b/>
          <w:sz w:val="24"/>
        </w:rPr>
        <w:t>（</w:t>
      </w:r>
      <w:r>
        <w:rPr>
          <w:b/>
          <w:sz w:val="24"/>
        </w:rPr>
        <w:t>2）</w:t>
      </w:r>
      <w:r>
        <w:rPr>
          <w:b/>
          <w:sz w:val="24"/>
        </w:rPr>
        <w:t>边坡土石方工程</w:t>
      </w:r>
    </w:p>
    <w:tbl>
      <w:tblPr>
        <w:tblW w:w="0" w:type="auto"/>
        <w:tblBorders>
          <w:top w:val="none" w:color="000000" w:sz="4"/>
          <w:left w:val="none" w:color="000000" w:sz="4"/>
          <w:bottom w:val="none" w:color="000000" w:sz="4"/>
          <w:right w:val="none" w:color="000000" w:sz="4"/>
          <w:insideH w:val="none"/>
          <w:insideV w:val="none"/>
        </w:tblBorders>
      </w:tblPr>
      <w:tblGrid>
        <w:gridCol w:w="581"/>
        <w:gridCol w:w="1625"/>
        <w:gridCol w:w="4429"/>
        <w:gridCol w:w="932"/>
        <w:gridCol w:w="739"/>
      </w:tblGrid>
      <w:tr>
        <w:tc>
          <w:tcPr>
            <w:tcW w:type="dxa" w:w="581"/>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625"/>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429"/>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32"/>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739"/>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81"/>
            <w:tcBorders>
              <w:top w:val="none" w:color="000000" w:sz="4"/>
              <w:left w:val="single" w:color="000000" w:sz="4"/>
              <w:bottom w:val="single" w:color="000000" w:sz="4"/>
              <w:right w:val="single" w:color="000000" w:sz="4"/>
            </w:tcBorders>
            <w:vAlign w:val="top"/>
          </w:tcPr>
          <w:p>
            <w:pPr>
              <w:jc w:val="center"/>
            </w:pPr>
          </w:p>
        </w:tc>
        <w:tc>
          <w:tcPr>
            <w:tcW w:type="dxa" w:w="1625"/>
            <w:tcBorders>
              <w:top w:val="none" w:color="000000" w:sz="4"/>
              <w:left w:val="none" w:color="000000" w:sz="4"/>
              <w:bottom w:val="single" w:color="000000" w:sz="4"/>
              <w:right w:val="single" w:color="000000" w:sz="4"/>
            </w:tcBorders>
            <w:vAlign w:val="top"/>
          </w:tcPr>
          <w:p>
            <w:pPr>
              <w:jc w:val="left"/>
            </w:pPr>
            <w:r>
              <w:rPr>
                <w:color w:val="000000"/>
                <w:sz w:val="21"/>
              </w:rPr>
              <w:t>整个项目</w:t>
            </w:r>
          </w:p>
        </w:tc>
        <w:tc>
          <w:tcPr>
            <w:tcW w:type="dxa" w:w="4429"/>
            <w:tcBorders>
              <w:top w:val="none" w:color="000000" w:sz="4"/>
              <w:left w:val="none" w:color="000000" w:sz="4"/>
              <w:bottom w:val="single" w:color="000000" w:sz="4"/>
              <w:right w:val="single" w:color="000000" w:sz="4"/>
            </w:tcBorders>
            <w:vAlign w:val="top"/>
          </w:tcPr>
          <w:p>
            <w:pPr>
              <w:jc w:val="left"/>
            </w:pPr>
          </w:p>
        </w:tc>
        <w:tc>
          <w:tcPr>
            <w:tcW w:type="dxa" w:w="932"/>
            <w:tcBorders>
              <w:top w:val="none" w:color="000000" w:sz="4"/>
              <w:left w:val="none" w:color="000000" w:sz="4"/>
              <w:bottom w:val="single" w:color="000000" w:sz="4"/>
              <w:right w:val="single" w:color="000000" w:sz="4"/>
            </w:tcBorders>
            <w:vAlign w:val="top"/>
          </w:tcPr>
          <w:p>
            <w:pPr>
              <w:jc w:val="left"/>
            </w:pPr>
          </w:p>
        </w:tc>
        <w:tc>
          <w:tcPr>
            <w:tcW w:type="dxa" w:w="739"/>
            <w:tcBorders>
              <w:top w:val="none" w:color="000000" w:sz="4"/>
              <w:left w:val="none" w:color="000000" w:sz="4"/>
              <w:bottom w:val="single" w:color="000000" w:sz="4"/>
              <w:right w:val="single" w:color="000000" w:sz="4"/>
            </w:tcBorders>
            <w:vAlign w:val="top"/>
          </w:tcPr>
          <w:p>
            <w:pPr>
              <w:jc w:val="right"/>
            </w:pPr>
          </w:p>
        </w:tc>
      </w:tr>
      <w:tr>
        <w:tc>
          <w:tcPr>
            <w:tcW w:type="dxa" w:w="581"/>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625"/>
            <w:tcBorders>
              <w:top w:val="none" w:color="000000" w:sz="4"/>
              <w:left w:val="none" w:color="000000" w:sz="4"/>
              <w:bottom w:val="single" w:color="000000" w:sz="4"/>
              <w:right w:val="single" w:color="000000" w:sz="4"/>
            </w:tcBorders>
            <w:vAlign w:val="top"/>
          </w:tcPr>
          <w:p>
            <w:pPr>
              <w:jc w:val="left"/>
            </w:pPr>
            <w:r>
              <w:rPr>
                <w:color w:val="000000"/>
                <w:sz w:val="21"/>
              </w:rPr>
              <w:t>挖一般土方</w:t>
            </w:r>
          </w:p>
        </w:tc>
        <w:tc>
          <w:tcPr>
            <w:tcW w:type="dxa" w:w="4429"/>
            <w:tcBorders>
              <w:top w:val="none" w:color="000000" w:sz="4"/>
              <w:left w:val="none" w:color="000000" w:sz="4"/>
              <w:bottom w:val="single" w:color="000000" w:sz="4"/>
              <w:right w:val="single" w:color="000000" w:sz="4"/>
            </w:tcBorders>
            <w:vAlign w:val="top"/>
          </w:tcPr>
          <w:p>
            <w:pPr>
              <w:jc w:val="left"/>
            </w:pPr>
            <w:r>
              <w:rPr>
                <w:color w:val="000000"/>
                <w:sz w:val="21"/>
              </w:rPr>
              <w:t>1.土壤类别:一二类土（粉质粘土、表土）</w:t>
            </w:r>
            <w:r>
              <w:br/>
            </w:r>
            <w:r>
              <w:rPr>
                <w:color w:val="000000"/>
                <w:sz w:val="21"/>
              </w:rPr>
              <w:t>2.余方弃置:5km以内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3290</w:t>
            </w:r>
          </w:p>
        </w:tc>
      </w:tr>
      <w:tr>
        <w:tc>
          <w:tcPr>
            <w:tcW w:type="dxa" w:w="581"/>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625"/>
            <w:tcBorders>
              <w:top w:val="none" w:color="000000" w:sz="4"/>
              <w:left w:val="none" w:color="000000" w:sz="4"/>
              <w:bottom w:val="single" w:color="000000" w:sz="4"/>
              <w:right w:val="single" w:color="000000" w:sz="4"/>
            </w:tcBorders>
            <w:vAlign w:val="top"/>
          </w:tcPr>
          <w:p>
            <w:pPr>
              <w:jc w:val="left"/>
            </w:pPr>
            <w:r>
              <w:rPr>
                <w:color w:val="000000"/>
                <w:sz w:val="21"/>
              </w:rPr>
              <w:t>挖一般石方</w:t>
            </w:r>
          </w:p>
        </w:tc>
        <w:tc>
          <w:tcPr>
            <w:tcW w:type="dxa" w:w="4429"/>
            <w:tcBorders>
              <w:top w:val="none" w:color="000000" w:sz="4"/>
              <w:left w:val="none" w:color="000000" w:sz="4"/>
              <w:bottom w:val="single" w:color="000000" w:sz="4"/>
              <w:right w:val="single" w:color="000000" w:sz="4"/>
            </w:tcBorders>
            <w:vAlign w:val="top"/>
          </w:tcPr>
          <w:p>
            <w:pPr>
              <w:jc w:val="left"/>
            </w:pPr>
            <w:r>
              <w:rPr>
                <w:color w:val="000000"/>
                <w:sz w:val="21"/>
              </w:rPr>
              <w:t>1.岩石类别:极软岩，岩石破碎机破碎</w:t>
            </w:r>
            <w:r>
              <w:br/>
            </w:r>
            <w:r>
              <w:rPr>
                <w:color w:val="000000"/>
                <w:sz w:val="21"/>
              </w:rPr>
              <w:t>2.余方弃置:5km以内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2625</w:t>
            </w:r>
          </w:p>
        </w:tc>
      </w:tr>
      <w:tr>
        <w:tc>
          <w:tcPr>
            <w:tcW w:type="dxa" w:w="581"/>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625"/>
            <w:tcBorders>
              <w:top w:val="none" w:color="000000" w:sz="4"/>
              <w:left w:val="none" w:color="000000" w:sz="4"/>
              <w:bottom w:val="single" w:color="000000" w:sz="4"/>
              <w:right w:val="single" w:color="000000" w:sz="4"/>
            </w:tcBorders>
            <w:vAlign w:val="top"/>
          </w:tcPr>
          <w:p>
            <w:pPr>
              <w:jc w:val="left"/>
            </w:pPr>
            <w:r>
              <w:rPr>
                <w:color w:val="000000"/>
                <w:sz w:val="21"/>
              </w:rPr>
              <w:t>清除地被植物</w:t>
            </w:r>
          </w:p>
        </w:tc>
        <w:tc>
          <w:tcPr>
            <w:tcW w:type="dxa" w:w="4429"/>
            <w:tcBorders>
              <w:top w:val="none" w:color="000000" w:sz="4"/>
              <w:left w:val="none" w:color="000000" w:sz="4"/>
              <w:bottom w:val="single" w:color="000000" w:sz="4"/>
              <w:right w:val="single" w:color="000000" w:sz="4"/>
            </w:tcBorders>
            <w:vAlign w:val="top"/>
          </w:tcPr>
          <w:p>
            <w:pPr>
              <w:jc w:val="left"/>
            </w:pPr>
            <w:r>
              <w:rPr>
                <w:color w:val="000000"/>
                <w:sz w:val="21"/>
              </w:rPr>
              <w:t>1.清除灌木林 人工</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4712</w:t>
            </w:r>
          </w:p>
        </w:tc>
      </w:tr>
      <w:tr>
        <w:tc>
          <w:tcPr>
            <w:tcW w:type="dxa" w:w="581"/>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625"/>
            <w:tcBorders>
              <w:top w:val="none" w:color="000000" w:sz="4"/>
              <w:left w:val="none" w:color="000000" w:sz="4"/>
              <w:bottom w:val="single" w:color="000000" w:sz="4"/>
              <w:right w:val="single" w:color="000000" w:sz="4"/>
            </w:tcBorders>
            <w:vAlign w:val="top"/>
          </w:tcPr>
          <w:p>
            <w:pPr>
              <w:jc w:val="left"/>
            </w:pPr>
            <w:r>
              <w:rPr>
                <w:color w:val="000000"/>
                <w:sz w:val="21"/>
              </w:rPr>
              <w:t>砍伐乔木</w:t>
            </w:r>
          </w:p>
        </w:tc>
        <w:tc>
          <w:tcPr>
            <w:tcW w:type="dxa" w:w="4429"/>
            <w:tcBorders>
              <w:top w:val="none" w:color="000000" w:sz="4"/>
              <w:left w:val="none" w:color="000000" w:sz="4"/>
              <w:bottom w:val="single" w:color="000000" w:sz="4"/>
              <w:right w:val="single" w:color="000000" w:sz="4"/>
            </w:tcBorders>
            <w:vAlign w:val="top"/>
          </w:tcPr>
          <w:p>
            <w:pPr>
              <w:jc w:val="left"/>
            </w:pPr>
            <w:r>
              <w:rPr>
                <w:color w:val="000000"/>
                <w:sz w:val="21"/>
              </w:rPr>
              <w:t>1.树干胸径:10cm以内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株</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235</w:t>
            </w:r>
          </w:p>
        </w:tc>
      </w:tr>
      <w:tr>
        <w:tc>
          <w:tcPr>
            <w:tcW w:type="dxa" w:w="581"/>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625"/>
            <w:tcBorders>
              <w:top w:val="none" w:color="000000" w:sz="4"/>
              <w:left w:val="none" w:color="000000" w:sz="4"/>
              <w:bottom w:val="single" w:color="000000" w:sz="4"/>
              <w:right w:val="single" w:color="000000" w:sz="4"/>
            </w:tcBorders>
            <w:vAlign w:val="top"/>
          </w:tcPr>
          <w:p>
            <w:pPr>
              <w:jc w:val="left"/>
            </w:pPr>
            <w:r>
              <w:rPr>
                <w:color w:val="000000"/>
                <w:sz w:val="21"/>
              </w:rPr>
              <w:t>砍伐乔木</w:t>
            </w:r>
          </w:p>
        </w:tc>
        <w:tc>
          <w:tcPr>
            <w:tcW w:type="dxa" w:w="4429"/>
            <w:tcBorders>
              <w:top w:val="none" w:color="000000" w:sz="4"/>
              <w:left w:val="none" w:color="000000" w:sz="4"/>
              <w:bottom w:val="single" w:color="000000" w:sz="4"/>
              <w:right w:val="single" w:color="000000" w:sz="4"/>
            </w:tcBorders>
            <w:vAlign w:val="top"/>
          </w:tcPr>
          <w:p>
            <w:pPr>
              <w:jc w:val="left"/>
            </w:pPr>
            <w:r>
              <w:rPr>
                <w:color w:val="000000"/>
                <w:sz w:val="21"/>
              </w:rPr>
              <w:t>1.树干胸径:20cm以内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株</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141</w:t>
            </w:r>
          </w:p>
        </w:tc>
      </w:tr>
      <w:tr>
        <w:tc>
          <w:tcPr>
            <w:tcW w:type="dxa" w:w="581"/>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625"/>
            <w:tcBorders>
              <w:top w:val="none" w:color="000000" w:sz="4"/>
              <w:left w:val="none" w:color="000000" w:sz="4"/>
              <w:bottom w:val="single" w:color="000000" w:sz="4"/>
              <w:right w:val="single" w:color="000000" w:sz="4"/>
            </w:tcBorders>
            <w:vAlign w:val="top"/>
          </w:tcPr>
          <w:p>
            <w:pPr>
              <w:jc w:val="left"/>
            </w:pPr>
            <w:r>
              <w:rPr>
                <w:color w:val="000000"/>
                <w:sz w:val="21"/>
              </w:rPr>
              <w:t>砍伐乔木</w:t>
            </w:r>
          </w:p>
        </w:tc>
        <w:tc>
          <w:tcPr>
            <w:tcW w:type="dxa" w:w="4429"/>
            <w:tcBorders>
              <w:top w:val="none" w:color="000000" w:sz="4"/>
              <w:left w:val="none" w:color="000000" w:sz="4"/>
              <w:bottom w:val="single" w:color="000000" w:sz="4"/>
              <w:right w:val="single" w:color="000000" w:sz="4"/>
            </w:tcBorders>
            <w:vAlign w:val="top"/>
          </w:tcPr>
          <w:p>
            <w:pPr>
              <w:jc w:val="left"/>
            </w:pPr>
            <w:r>
              <w:rPr>
                <w:color w:val="000000"/>
                <w:sz w:val="21"/>
              </w:rPr>
              <w:t>1.树干胸径:30cm以内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株</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94</w:t>
            </w:r>
          </w:p>
        </w:tc>
      </w:tr>
      <w:tr>
        <w:tc>
          <w:tcPr>
            <w:tcW w:type="dxa" w:w="581"/>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625"/>
            <w:tcBorders>
              <w:top w:val="none" w:color="000000" w:sz="4"/>
              <w:left w:val="none" w:color="000000" w:sz="4"/>
              <w:bottom w:val="single" w:color="000000" w:sz="4"/>
              <w:right w:val="single" w:color="000000" w:sz="4"/>
            </w:tcBorders>
            <w:vAlign w:val="top"/>
          </w:tcPr>
          <w:p>
            <w:pPr>
              <w:jc w:val="left"/>
            </w:pPr>
            <w:r>
              <w:rPr>
                <w:color w:val="000000"/>
                <w:sz w:val="21"/>
              </w:rPr>
              <w:t>挖树根</w:t>
            </w:r>
            <w:r>
              <w:rPr>
                <w:color w:val="000000"/>
                <w:sz w:val="21"/>
              </w:rPr>
              <w:t>(蔸)</w:t>
            </w:r>
          </w:p>
        </w:tc>
        <w:tc>
          <w:tcPr>
            <w:tcW w:type="dxa" w:w="4429"/>
            <w:tcBorders>
              <w:top w:val="none" w:color="000000" w:sz="4"/>
              <w:left w:val="none" w:color="000000" w:sz="4"/>
              <w:bottom w:val="single" w:color="000000" w:sz="4"/>
              <w:right w:val="single" w:color="000000" w:sz="4"/>
            </w:tcBorders>
            <w:vAlign w:val="top"/>
          </w:tcPr>
          <w:p>
            <w:pPr>
              <w:jc w:val="left"/>
            </w:pPr>
            <w:r>
              <w:rPr>
                <w:color w:val="000000"/>
                <w:sz w:val="21"/>
              </w:rPr>
              <w:t>1.树干胸径:10cm内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株</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235</w:t>
            </w:r>
          </w:p>
        </w:tc>
      </w:tr>
      <w:tr>
        <w:tc>
          <w:tcPr>
            <w:tcW w:type="dxa" w:w="581"/>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625"/>
            <w:tcBorders>
              <w:top w:val="none" w:color="000000" w:sz="4"/>
              <w:left w:val="none" w:color="000000" w:sz="4"/>
              <w:bottom w:val="single" w:color="000000" w:sz="4"/>
              <w:right w:val="single" w:color="000000" w:sz="4"/>
            </w:tcBorders>
            <w:vAlign w:val="top"/>
          </w:tcPr>
          <w:p>
            <w:pPr>
              <w:jc w:val="left"/>
            </w:pPr>
            <w:r>
              <w:rPr>
                <w:color w:val="000000"/>
                <w:sz w:val="21"/>
              </w:rPr>
              <w:t>挖树根</w:t>
            </w:r>
            <w:r>
              <w:rPr>
                <w:color w:val="000000"/>
                <w:sz w:val="21"/>
              </w:rPr>
              <w:t>(蔸)</w:t>
            </w:r>
          </w:p>
        </w:tc>
        <w:tc>
          <w:tcPr>
            <w:tcW w:type="dxa" w:w="4429"/>
            <w:tcBorders>
              <w:top w:val="none" w:color="000000" w:sz="4"/>
              <w:left w:val="none" w:color="000000" w:sz="4"/>
              <w:bottom w:val="single" w:color="000000" w:sz="4"/>
              <w:right w:val="single" w:color="000000" w:sz="4"/>
            </w:tcBorders>
            <w:vAlign w:val="top"/>
          </w:tcPr>
          <w:p>
            <w:pPr>
              <w:jc w:val="left"/>
            </w:pPr>
            <w:r>
              <w:rPr>
                <w:color w:val="000000"/>
                <w:sz w:val="21"/>
              </w:rPr>
              <w:t>1.树干胸径:20cm内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株</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141</w:t>
            </w:r>
          </w:p>
        </w:tc>
      </w:tr>
      <w:tr>
        <w:tc>
          <w:tcPr>
            <w:tcW w:type="dxa" w:w="581"/>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625"/>
            <w:tcBorders>
              <w:top w:val="none" w:color="000000" w:sz="4"/>
              <w:left w:val="none" w:color="000000" w:sz="4"/>
              <w:bottom w:val="single" w:color="000000" w:sz="4"/>
              <w:right w:val="single" w:color="000000" w:sz="4"/>
            </w:tcBorders>
            <w:vAlign w:val="top"/>
          </w:tcPr>
          <w:p>
            <w:pPr>
              <w:jc w:val="left"/>
            </w:pPr>
            <w:r>
              <w:rPr>
                <w:color w:val="000000"/>
                <w:sz w:val="21"/>
              </w:rPr>
              <w:t>挖树根</w:t>
            </w:r>
            <w:r>
              <w:rPr>
                <w:color w:val="000000"/>
                <w:sz w:val="21"/>
              </w:rPr>
              <w:t>(蔸)</w:t>
            </w:r>
          </w:p>
        </w:tc>
        <w:tc>
          <w:tcPr>
            <w:tcW w:type="dxa" w:w="4429"/>
            <w:tcBorders>
              <w:top w:val="none" w:color="000000" w:sz="4"/>
              <w:left w:val="none" w:color="000000" w:sz="4"/>
              <w:bottom w:val="single" w:color="000000" w:sz="4"/>
              <w:right w:val="single" w:color="000000" w:sz="4"/>
            </w:tcBorders>
            <w:vAlign w:val="top"/>
          </w:tcPr>
          <w:p>
            <w:pPr>
              <w:jc w:val="left"/>
            </w:pPr>
            <w:r>
              <w:rPr>
                <w:color w:val="000000"/>
                <w:sz w:val="21"/>
              </w:rPr>
              <w:t>1.树干胸径:30cm内</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株</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94</w:t>
            </w:r>
          </w:p>
        </w:tc>
      </w:tr>
    </w:tbl>
    <w:p>
      <w:pPr>
        <w:jc w:val="center"/>
      </w:pPr>
      <w:r>
        <w:rPr>
          <w:b/>
          <w:sz w:val="24"/>
        </w:rPr>
        <w:t>（</w:t>
      </w:r>
      <w:r>
        <w:rPr>
          <w:b/>
          <w:sz w:val="24"/>
        </w:rPr>
        <w:t>3）</w:t>
      </w:r>
      <w:r>
        <w:rPr>
          <w:b/>
          <w:sz w:val="24"/>
        </w:rPr>
        <w:t>绿化工程</w:t>
      </w:r>
    </w:p>
    <w:tbl>
      <w:tblPr>
        <w:tblW w:w="0" w:type="auto"/>
        <w:tblBorders>
          <w:top w:val="none" w:color="000000" w:sz="4"/>
          <w:left w:val="none" w:color="000000" w:sz="4"/>
          <w:bottom w:val="none" w:color="000000" w:sz="4"/>
          <w:right w:val="none" w:color="000000" w:sz="4"/>
          <w:insideH w:val="none"/>
          <w:insideV w:val="none"/>
        </w:tblBorders>
      </w:tblPr>
      <w:tblGrid>
        <w:gridCol w:w="595"/>
        <w:gridCol w:w="1613"/>
        <w:gridCol w:w="4428"/>
        <w:gridCol w:w="932"/>
        <w:gridCol w:w="739"/>
      </w:tblGrid>
      <w:tr>
        <w:tc>
          <w:tcPr>
            <w:tcW w:type="dxa" w:w="59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613"/>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428"/>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932"/>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739"/>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95"/>
            <w:tcBorders>
              <w:top w:val="none" w:color="000000" w:sz="4"/>
              <w:left w:val="single" w:color="000000" w:sz="4"/>
              <w:bottom w:val="single" w:color="000000" w:sz="4"/>
              <w:right w:val="single" w:color="000000" w:sz="4"/>
            </w:tcBorders>
            <w:vAlign w:val="top"/>
          </w:tcPr>
          <w:p>
            <w:pPr>
              <w:jc w:val="center"/>
            </w:pPr>
          </w:p>
        </w:tc>
        <w:tc>
          <w:tcPr>
            <w:tcW w:type="dxa" w:w="1613"/>
            <w:tcBorders>
              <w:top w:val="none" w:color="000000" w:sz="4"/>
              <w:left w:val="none" w:color="000000" w:sz="4"/>
              <w:bottom w:val="single" w:color="000000" w:sz="4"/>
              <w:right w:val="single" w:color="000000" w:sz="4"/>
            </w:tcBorders>
            <w:vAlign w:val="top"/>
          </w:tcPr>
          <w:p>
            <w:pPr>
              <w:jc w:val="left"/>
            </w:pPr>
            <w:r>
              <w:rPr>
                <w:color w:val="000000"/>
                <w:sz w:val="21"/>
              </w:rPr>
              <w:t>整个项目</w:t>
            </w:r>
          </w:p>
        </w:tc>
        <w:tc>
          <w:tcPr>
            <w:tcW w:type="dxa" w:w="4428"/>
            <w:tcBorders>
              <w:top w:val="none" w:color="000000" w:sz="4"/>
              <w:left w:val="none" w:color="000000" w:sz="4"/>
              <w:bottom w:val="single" w:color="000000" w:sz="4"/>
              <w:right w:val="single" w:color="000000" w:sz="4"/>
            </w:tcBorders>
            <w:vAlign w:val="top"/>
          </w:tcPr>
          <w:p>
            <w:pPr>
              <w:jc w:val="left"/>
            </w:pPr>
          </w:p>
        </w:tc>
        <w:tc>
          <w:tcPr>
            <w:tcW w:type="dxa" w:w="932"/>
            <w:tcBorders>
              <w:top w:val="none" w:color="000000" w:sz="4"/>
              <w:left w:val="none" w:color="000000" w:sz="4"/>
              <w:bottom w:val="single" w:color="000000" w:sz="4"/>
              <w:right w:val="single" w:color="000000" w:sz="4"/>
            </w:tcBorders>
            <w:vAlign w:val="top"/>
          </w:tcPr>
          <w:p>
            <w:pPr>
              <w:jc w:val="left"/>
            </w:pPr>
          </w:p>
        </w:tc>
        <w:tc>
          <w:tcPr>
            <w:tcW w:type="dxa" w:w="739"/>
            <w:tcBorders>
              <w:top w:val="none" w:color="000000" w:sz="4"/>
              <w:left w:val="none" w:color="000000" w:sz="4"/>
              <w:bottom w:val="single" w:color="000000" w:sz="4"/>
              <w:right w:val="single" w:color="000000" w:sz="4"/>
            </w:tcBorders>
            <w:vAlign w:val="top"/>
          </w:tcPr>
          <w:p>
            <w:pPr>
              <w:jc w:val="right"/>
            </w:pPr>
          </w:p>
        </w:tc>
      </w:tr>
      <w:tr>
        <w:tc>
          <w:tcPr>
            <w:tcW w:type="dxa" w:w="59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613"/>
            <w:tcBorders>
              <w:top w:val="none" w:color="000000" w:sz="4"/>
              <w:left w:val="none" w:color="000000" w:sz="4"/>
              <w:bottom w:val="single" w:color="000000" w:sz="4"/>
              <w:right w:val="single" w:color="000000" w:sz="4"/>
            </w:tcBorders>
            <w:vAlign w:val="top"/>
          </w:tcPr>
          <w:p>
            <w:pPr>
              <w:jc w:val="left"/>
            </w:pPr>
            <w:r>
              <w:rPr>
                <w:color w:val="000000"/>
                <w:sz w:val="21"/>
              </w:rPr>
              <w:t>喷播植草</w:t>
            </w:r>
            <w:r>
              <w:rPr>
                <w:color w:val="000000"/>
                <w:sz w:val="21"/>
              </w:rPr>
              <w:t>(灌木)籽</w:t>
            </w:r>
          </w:p>
        </w:tc>
        <w:tc>
          <w:tcPr>
            <w:tcW w:type="dxa" w:w="4428"/>
            <w:tcBorders>
              <w:top w:val="none" w:color="000000" w:sz="4"/>
              <w:left w:val="none" w:color="000000" w:sz="4"/>
              <w:bottom w:val="single" w:color="000000" w:sz="4"/>
              <w:right w:val="single" w:color="000000" w:sz="4"/>
            </w:tcBorders>
            <w:vAlign w:val="top"/>
          </w:tcPr>
          <w:p>
            <w:pPr>
              <w:jc w:val="left"/>
            </w:pPr>
            <w:r>
              <w:rPr>
                <w:color w:val="000000"/>
                <w:sz w:val="21"/>
              </w:rPr>
              <w:t>1.养护期:12个月</w:t>
            </w:r>
            <w:r>
              <w:br/>
            </w:r>
            <w:r>
              <w:rPr>
                <w:color w:val="000000"/>
                <w:sz w:val="21"/>
              </w:rPr>
              <w:t>2.草(灌木)籽种类:综合考虑</w:t>
            </w:r>
            <w:r>
              <w:br/>
            </w:r>
            <w:r>
              <w:rPr>
                <w:color w:val="000000"/>
                <w:sz w:val="21"/>
              </w:rPr>
              <w:t>3.基层材料种类规格:具体做法及施工详见设计图纸和规范要求</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3327</w:t>
            </w:r>
          </w:p>
        </w:tc>
      </w:tr>
      <w:tr>
        <w:tc>
          <w:tcPr>
            <w:tcW w:type="dxa" w:w="59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613"/>
            <w:tcBorders>
              <w:top w:val="none" w:color="000000" w:sz="4"/>
              <w:left w:val="none" w:color="000000" w:sz="4"/>
              <w:bottom w:val="single" w:color="000000" w:sz="4"/>
              <w:right w:val="single" w:color="000000" w:sz="4"/>
            </w:tcBorders>
            <w:vAlign w:val="top"/>
          </w:tcPr>
          <w:p>
            <w:pPr>
              <w:jc w:val="left"/>
            </w:pPr>
            <w:r>
              <w:rPr>
                <w:color w:val="000000"/>
                <w:sz w:val="21"/>
              </w:rPr>
              <w:t>挂网</w:t>
            </w:r>
          </w:p>
        </w:tc>
        <w:tc>
          <w:tcPr>
            <w:tcW w:type="dxa" w:w="4428"/>
            <w:tcBorders>
              <w:top w:val="none" w:color="000000" w:sz="4"/>
              <w:left w:val="none" w:color="000000" w:sz="4"/>
              <w:bottom w:val="single" w:color="000000" w:sz="4"/>
              <w:right w:val="single" w:color="000000" w:sz="4"/>
            </w:tcBorders>
            <w:vAlign w:val="top"/>
          </w:tcPr>
          <w:p>
            <w:pPr>
              <w:jc w:val="left"/>
            </w:pPr>
            <w:r>
              <w:rPr>
                <w:color w:val="000000"/>
                <w:sz w:val="21"/>
              </w:rPr>
              <w:t>1.铺丝网，直径2.6mm，网孔规格为50mm×50mm</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3327</w:t>
            </w:r>
          </w:p>
        </w:tc>
      </w:tr>
      <w:tr>
        <w:tc>
          <w:tcPr>
            <w:tcW w:type="dxa" w:w="59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613"/>
            <w:tcBorders>
              <w:top w:val="none" w:color="000000" w:sz="4"/>
              <w:left w:val="none" w:color="000000" w:sz="4"/>
              <w:bottom w:val="single" w:color="000000" w:sz="4"/>
              <w:right w:val="single" w:color="000000" w:sz="4"/>
            </w:tcBorders>
            <w:vAlign w:val="top"/>
          </w:tcPr>
          <w:p>
            <w:pPr>
              <w:jc w:val="left"/>
            </w:pPr>
            <w:r>
              <w:rPr>
                <w:color w:val="000000"/>
                <w:sz w:val="21"/>
              </w:rPr>
              <w:t>无纺布</w:t>
            </w:r>
          </w:p>
        </w:tc>
        <w:tc>
          <w:tcPr>
            <w:tcW w:type="dxa" w:w="4428"/>
            <w:tcBorders>
              <w:top w:val="none" w:color="000000" w:sz="4"/>
              <w:left w:val="none" w:color="000000" w:sz="4"/>
              <w:bottom w:val="single" w:color="000000" w:sz="4"/>
              <w:right w:val="single" w:color="000000" w:sz="4"/>
            </w:tcBorders>
            <w:vAlign w:val="top"/>
          </w:tcPr>
          <w:p>
            <w:pPr>
              <w:jc w:val="left"/>
            </w:pPr>
            <w:r>
              <w:rPr>
                <w:color w:val="000000"/>
                <w:sz w:val="21"/>
              </w:rPr>
              <w:t>1.覆盖无纺布，边口（用U型钉，两头用土埋）</w:t>
            </w:r>
          </w:p>
        </w:tc>
        <w:tc>
          <w:tcPr>
            <w:tcW w:type="dxa" w:w="932"/>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739"/>
            <w:tcBorders>
              <w:top w:val="none" w:color="000000" w:sz="4"/>
              <w:left w:val="none" w:color="000000" w:sz="4"/>
              <w:bottom w:val="single" w:color="000000" w:sz="4"/>
              <w:right w:val="single" w:color="000000" w:sz="4"/>
            </w:tcBorders>
            <w:vAlign w:val="top"/>
          </w:tcPr>
          <w:p>
            <w:pPr>
              <w:jc w:val="right"/>
            </w:pPr>
            <w:r>
              <w:rPr>
                <w:color w:val="000000"/>
                <w:sz w:val="21"/>
              </w:rPr>
              <w:t>4810</w:t>
            </w:r>
          </w:p>
        </w:tc>
      </w:tr>
    </w:tbl>
    <w:p>
      <w:r>
        <w:rPr>
          <w:sz w:val="21"/>
        </w:rPr>
        <w:t>注：供应商应</w:t>
      </w:r>
      <w:r>
        <w:rPr>
          <w:sz w:val="21"/>
        </w:rPr>
        <w:t>自行</w:t>
      </w:r>
      <w:r>
        <w:rPr>
          <w:sz w:val="21"/>
        </w:rPr>
        <w:t>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
      <w:pPr>
        <w:ind w:firstLine="480"/>
      </w:pPr>
    </w:p>
    <w:p/>
    <w:p>
      <w:r>
        <w:rPr/>
        <w:t>采购包1（广东省云浮市新兴县河头镇中心小学崩塌、滑坡地质灾害治理工程）：</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★自合同签订生效之日起120天内完成</w:t>
            </w:r>
          </w:p>
        </w:tc>
      </w:tr>
      <w:tr>
        <w:tc>
          <w:tcPr>
            <w:tcW w:type="dxa" w:w="4153"/>
          </w:tcPr>
          <w:p>
            <w:r>
              <w:rPr/>
              <w:t>标的提供的地点</w:t>
            </w:r>
          </w:p>
        </w:tc>
        <w:tc>
          <w:tcPr>
            <w:tcW w:type="dxa" w:w="4153"/>
          </w:tcPr>
          <w:p>
            <w:pPr>
              <w:jc w:val="left"/>
            </w:pPr>
          </w:p>
          <w:p>
            <w:r>
              <w:rPr/>
              <w:t>新兴县河头镇中心小学旁</w:t>
            </w:r>
          </w:p>
        </w:tc>
      </w:tr>
      <w:tr>
        <w:tc>
          <w:tcPr>
            <w:tcW w:type="dxa" w:w="4153"/>
          </w:tcPr>
          <w:p>
            <w:r>
              <w:rPr/>
              <w:t>响应有效期</w:t>
            </w:r>
          </w:p>
        </w:tc>
        <w:tc>
          <w:tcPr>
            <w:tcW w:type="dxa" w:w="4153"/>
          </w:tcPr>
          <w:p>
            <w:pPr>
              <w:jc w:val="left"/>
            </w:pPr>
          </w:p>
          <w:p>
            <w:r>
              <w:rPr/>
              <w:t>从提交投标（响应）文件的截止之日起60日历天</w:t>
            </w:r>
          </w:p>
        </w:tc>
      </w:tr>
      <w:tr>
        <w:tc>
          <w:tcPr>
            <w:tcW w:type="dxa" w:w="4153"/>
          </w:tcPr>
          <w:p>
            <w:r>
              <w:rPr/>
              <w:t>付款方式</w:t>
            </w:r>
          </w:p>
        </w:tc>
        <w:tc>
          <w:tcPr>
            <w:tcW w:type="dxa" w:w="4153"/>
          </w:tcPr>
          <w:p>
            <w:pPr>
              <w:jc w:val="left"/>
            </w:pPr>
          </w:p>
          <w:p/>
          <w:p/>
          <w:p>
            <w:r>
              <w:rPr/>
              <w:t>1期：支付比例30%，★预付款：支付合同价的30%作工程预付款（含合同价3%的工人工资支付保证金）；工程预付款在合同协议书签订后30天内支付（成交供应商须同时提供预付款保函给采购人）</w:t>
            </w:r>
          </w:p>
          <w:p/>
          <w:p>
            <w:r>
              <w:rPr/>
              <w:t>2期：支付比例60%，★进度款：进度款实行按月支付，按每月完成工程造价的90%比例支付进度款（含合同工程量清单以外的零星项目）；在支付进度款时按当期完成工程造价金额的30%比例扣回预付款，在支付进度款达到合同价的90%时必须扣回全部预付款（即该期进度款支付时对剩余未扣预付款作一次性扣回，不限于当期工程造价的30%比例）；若建设规模缩小的，进度款拨付总额不能超过规模缩小后总造价的90%；</w:t>
            </w:r>
          </w:p>
          <w:p/>
          <w:p>
            <w:r>
              <w:rPr/>
              <w:t>3期：支付比例7%，★结算款：工程竣工验收合格且工程结算通过审核后十四天内支付到工程结算造价的97%，余款3%作为保修金（按规定采用银行保函、工程保险、工程担保等担保方式替代质量保修金的则不予扣留质量保修金，结算通过审核后一次性支付到工程结算造价的100%）；</w:t>
            </w:r>
          </w:p>
          <w:p/>
          <w:p>
            <w:r>
              <w:rPr/>
              <w:t>4期：支付比例3%，★质量保修金：在工程竣工验收合格之日起期满壹年后十四天内无息归还（或解除质量保修金担保）；在保修期内，成交供应商须在收到采购人的维修通知后10个日历天内到场维修，逾期不到场的，采购人可自行委托第三方进场维修，由此产生的维修费用在质量保修金内扣取。如维修费用超出质量保修金的，采购人可向成交供应商追讨赔偿。</w:t>
            </w:r>
          </w:p>
        </w:tc>
      </w:tr>
      <w:tr>
        <w:tc>
          <w:tcPr>
            <w:tcW w:type="dxa" w:w="4153"/>
          </w:tcPr>
          <w:p>
            <w:r>
              <w:rPr/>
              <w:t>验收要求</w:t>
            </w:r>
          </w:p>
        </w:tc>
        <w:tc>
          <w:tcPr>
            <w:tcW w:type="dxa" w:w="4153"/>
          </w:tcPr>
          <w:p>
            <w:pPr>
              <w:jc w:val="left"/>
            </w:pPr>
          </w:p>
          <w:p/>
          <w:p/>
          <w:p>
            <w:r>
              <w:rPr/>
              <w:t>1期：（1）验收应在采购人和成交供应商双方共同参加下进行。 ★（2）按照国家颁布的现行相关行业规定标准进行验收，如验收不合格的必须返工，返工费由成交供应商负责。 （3）各项技术经济指标先进，应结合当前的施工技术水平，建设方案、设计方案具有可实施性。 （4）按工程规划要点和工程建设的要求，在满足主要功能的前提下，应优先采用科学、先进的设计理念和方法。 （5）当项目性能无法达到采购人的要求时，采购人可拒绝验收，由此造成的损失全部由成交供应商承担。 （6）所有验收文件、测试报告、资料要提交给采购人以作留档备案。</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★报价要求:（1）由供应商采用下浮率的形式报价，有效报价下浮率范围为：0-100%（含界值），以百分比为单位，按四舍五入原则保留小数点后2位小数。 （2）供应商须严格按照施工技术要求进行报价，报价包含项目前期调研费、现场勘察费、资料收集费、分部分项工程费、措施费、其他项目费、人工费、运输费、售后服务费、管理费、税费等完成合同规定责任和义务、达到合同目的的一切费用。</w:t>
            </w:r>
          </w:p>
          <w:p/>
          <w:p>
            <w:r>
              <w:rPr/>
              <w:t>★工期要求:（1）项目完成时间：自合同签订生效之日起120天内完成。 （2）开工日期由合同生效之日起算，以工程竣工验收通过的日期作为实际竣工日。 （3）因采购人原因及不可抗力原因造成工期延误且得到双方认可的，工期相应顺延，双方办理同意顺延工期手续。</w:t>
            </w:r>
          </w:p>
          <w:p/>
          <w:p>
            <w:r>
              <w:rPr/>
              <w:t>人员要求:（1）成交供应商全面负责项目的技术工作，对本次项目负全部的责任，包括前期调研和施工方案制定、项目的实施和成果的提交。 （2）为使项目按质、按量、按时及有序实施，拟派施工管理架构人员的设置必须满足工程施工需要，配备项目负责人、项目技术负责人等，拟委派的施工架构人员必须是本公司的正式员工。 ★（3）项目负责人必须执行经办所有与该项目相关的事项。 （4）人员安全：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（5）成交供应商在作业期间造成人员伤亡事故（包括成交供应商自身人员和其它人员伤亡等），由成交供应商负责事故上报、经济赔偿和善后处理。事故的损失和善后处理费用均由成交供应商承担。</w:t>
            </w:r>
          </w:p>
          <w:p/>
          <w:p>
            <w:r>
              <w:rPr/>
              <w:t>★承包方式:根据采购人提供的预算等相关资料及说明，由成交供应商包材料、包施工、包质量、包工期、包安全进行总承包。</w:t>
            </w:r>
          </w:p>
          <w:p/>
          <w:p>
            <w:r>
              <w:rPr/>
              <w:t>★付款方式:（1）工程量清单中的工程量不作为最终结算的工程量，用于结算的工程量是成交供应商实际完成的，并按合同有关计算规定计量的工程量。 （2）合同价及单价的确定： 1）合同价非最终结算价，合同价＝招标控制价（即采购预算）×（1-成交供应商中标下浮率）。 2）根据经财政审核部门审定后的预算，得出合同价格的单价，作为计量和结算的依据。 （3）合同最终结算价＝审定结算建安工程费（由具备审核资格的机构审定）×（1-成交供应商中标下浮率），审定结算建安工程费以财政部门或其授权委托单位审核为准。 注：项目实施过程中，中标下浮率不做任何调整。 （4）成交供应商凭以下有效文件向采购人申请支付： 1）合同； 2）成交供应商开具的正式发票； 3）验收报告（加盖采购人公章）； 4）成交通知书； 5）财政部门要求的其他付款资料。 （5）付款方式：采用银行转账等形式。 （6）因采购人使用的是财政资金，采购人在前款规定的付款时间为向政府采购支付部门提出办理财政支付申请手续的时间（不含政府财政部门审核的时间），在规定时间内提出支付申请手续后即视为采购人已经按期支付。</w:t>
            </w:r>
          </w:p>
          <w:p/>
          <w:p>
            <w:r>
              <w:rPr/>
              <w:t>售后服务及其他要求:（1）供应商须对项目实施提供必要的技术支持和服务保证。 （2）最终成果要求：成交供应商提交的项目成果质量必须符合项目要求且通过采购人的验收。 ★（3）供应商须提供保修期不少于1年，保修期自工程竣工验收合格之日起计算。在保修期内成交供应商须承担因施工质量问题而造成的返修，其费用由成交供应商负责。在保修期内，成交供应商须在收到采购人的维修通知后10个日历天内到场维修，逾期不到场的，采购人可自行委托第三方进场维修，由此产生的维修费用在质量保修金内扣取。如维修费用超出质量保修金的，采购人可向成交供应商追讨赔偿。成交供应商须在采购人要求的期限内完成采购人通知要求维修的任务，并达到合格标准，若因成交供应商原因给用户或第三方造成损失，成交供应商须承担赔偿责任。 （4）工程质量不合格、不符合设计标准、达不到设计要求，或施工程序不按施工规范的，采购人有权要求成交供应商停工和返工，因停工和返工造成的一切损失由成交供应商自行承担，工期不予顺延。 （5）发生须紧急抢修事故的，成交供应商在接到事故通知后，应当立即到达事故现场抢修。 （6）因成交供应商原因致使工程在国家规定的工程合理使用期限内造成人身和财产损害的，成交供应商应承担赔偿责任。</w:t>
            </w:r>
          </w:p>
          <w:p/>
          <w:p>
            <w:r>
              <w:rPr/>
              <w:t>说明:（1）“主要商务要求”中的“★”项条款为实质性条款，供应商要特别加以注意，必须逐条响应，若有一项“★”的指标未响应、负偏离或缺漏，将导致响应无效。 （2）“主要商务要求”中的非“★”项条款为一般性条款，不作为废标条款，供应商如不响应、负偏离或缺漏，将会影响供应商的评审得分。</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其他建筑工程</w:t>
            </w:r>
          </w:p>
        </w:tc>
        <w:tc>
          <w:tcPr>
            <w:tcW w:type="dxa" w:w="1816"/>
          </w:tcPr>
          <w:p>
            <w:r>
              <w:rPr/>
              <w:t>广东省云浮市新兴县河头镇中心小学崩塌、滑坡地质灾害治理工程施工</w:t>
            </w:r>
          </w:p>
        </w:tc>
        <w:tc>
          <w:tcPr>
            <w:tcW w:type="dxa" w:w="363"/>
          </w:tcPr>
          <w:p>
            <w:r>
              <w:rPr/>
              <w:t>项</w:t>
            </w:r>
          </w:p>
        </w:tc>
        <w:tc>
          <w:tcPr>
            <w:tcW w:type="dxa" w:w="660"/>
          </w:tcPr>
          <w:p>
            <w:pPr>
              <w:jc w:val="right"/>
            </w:pPr>
            <w:r>
              <w:rPr/>
              <w:t>1.0000</w:t>
            </w:r>
          </w:p>
        </w:tc>
        <w:tc>
          <w:tcPr>
            <w:tcW w:type="dxa" w:w="660"/>
          </w:tcPr>
          <w:p>
            <w:pPr>
              <w:jc w:val="right"/>
            </w:pPr>
            <w:r>
              <w:rPr/>
              <w:t>3,610,714.31</w:t>
            </w:r>
          </w:p>
        </w:tc>
        <w:tc>
          <w:tcPr>
            <w:tcW w:type="dxa" w:w="660"/>
          </w:tcPr>
          <w:p>
            <w:pPr>
              <w:jc w:val="right"/>
            </w:pPr>
            <w:r>
              <w:rPr/>
              <w:t>3,610,714.31</w:t>
            </w:r>
          </w:p>
        </w:tc>
        <w:tc>
          <w:tcPr>
            <w:tcW w:type="dxa" w:w="660"/>
          </w:tcPr>
          <w:p>
            <w:r>
              <w:rPr/>
              <w:t>100.0</w:t>
            </w:r>
          </w:p>
        </w:tc>
        <w:tc>
          <w:tcPr>
            <w:tcW w:type="dxa" w:w="726"/>
          </w:tcPr>
          <w:p>
            <w:r>
              <w:rPr/>
              <w:t>建筑业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广东省云浮市新兴县河头镇中心小学崩塌、滑坡地质灾害治理工程施工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1）本项目中：供应商须负责整个项目所有的施工任务，包括材料设备的采购、施工、保护及保修，不论是永久性质的或是临时性质的。</w:t>
            </w:r>
          </w:p>
          <w:p>
            <w:r>
              <w:rPr>
                <w:sz w:val="21"/>
              </w:rPr>
              <w:t>2）由于施工场地特殊，采购人不提供施工所需的临时食宿、办公、材料加工场地，均由成交供应商自行解决，其费用由成交供应商自理。</w:t>
            </w:r>
          </w:p>
          <w:p>
            <w:r>
              <w:rPr>
                <w:sz w:val="21"/>
              </w:rPr>
              <w:t>3）成交供应商自行解决施工临时用水、用电、通讯设施，相关费用已包含在响应报价内。</w:t>
            </w:r>
          </w:p>
          <w:p>
            <w:r>
              <w:rPr>
                <w:sz w:val="21"/>
              </w:rPr>
              <w:t>4）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5）成交供应商在施工时须对施工场地内的其它设备、设施有良好的保护措施。</w:t>
            </w:r>
          </w:p>
          <w:p>
            <w:r>
              <w:rPr>
                <w:sz w:val="21"/>
              </w:rPr>
              <w:t>6）成交供应商一旦进场施工，须严格遵守采购人的各项规章制度，包括但不限于：</w:t>
            </w:r>
          </w:p>
          <w:p>
            <w:r>
              <w:rPr>
                <w:sz w:val="21"/>
              </w:rPr>
              <w:t>①在规定的地域施工和活动；</w:t>
            </w:r>
          </w:p>
          <w:p>
            <w:r>
              <w:rPr>
                <w:sz w:val="21"/>
              </w:rPr>
              <w:t>②项目负责人和管理人员须坚守岗位，因事需离开施工现场的，须提前向采购人请假，经采购人同意方可离开。</w:t>
            </w:r>
          </w:p>
          <w:p>
            <w:r>
              <w:rPr>
                <w:sz w:val="21"/>
              </w:rPr>
              <w:t>7）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新兴县自然资源局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采购包1：下浮率</w:t>
            </w:r>
          </w:p>
        </w:tc>
      </w:tr>
      <w:tr>
        <w:tc>
          <w:tcPr>
            <w:tcW w:type="dxa" w:w="1051"/>
          </w:tcPr>
          <w:p>
            <w:pPr>
              <w:jc w:val="center"/>
            </w:pPr>
            <w:r>
              <w:rPr/>
              <w:t>6</w:t>
            </w:r>
          </w:p>
        </w:tc>
        <w:tc>
          <w:tcPr>
            <w:tcW w:type="dxa" w:w="2252"/>
          </w:tcPr>
          <w:p>
            <w:r>
              <w:rPr/>
              <w:t>报价要求</w:t>
            </w:r>
          </w:p>
        </w:tc>
        <w:tc>
          <w:tcPr>
            <w:tcW w:type="dxa" w:w="5004"/>
          </w:tcPr>
          <w:p/>
          <w:p>
            <w:r>
              <w:rPr/>
              <w:t>采购包1：0% - 100%</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r>
              <w:rPr/>
              <w:t>采购机构代理服务收费标准：按定额收取采购代理费（含税）：人民币贰万捌仟元整（¥28000.00）。</w:t>
            </w:r>
          </w:p>
        </w:tc>
      </w:tr>
      <w:tr>
        <w:tc>
          <w:tcPr>
            <w:tcW w:type="dxa" w:w="1051"/>
          </w:tcPr>
          <w:p>
            <w:pPr>
              <w:jc w:val="center"/>
            </w:pPr>
            <w:r>
              <w:rPr/>
              <w:t>16</w:t>
            </w:r>
          </w:p>
        </w:tc>
        <w:tc>
          <w:tcPr>
            <w:tcW w:type="dxa" w:w="2252"/>
          </w:tcPr>
          <w:p>
            <w:r>
              <w:rPr/>
              <w:t>代理服务费收取方式</w:t>
            </w:r>
          </w:p>
        </w:tc>
        <w:tc>
          <w:tcPr>
            <w:tcW w:type="dxa" w:w="5004"/>
          </w:tcPr>
          <w:p>
            <w:r>
              <w:rPr/>
              <w:t>向采购人收取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3</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云浮市公共资源交易网（http：//ggzy.yunfu.gov.cn/）、云浮市中策招标咨询服务有限公司（www.yfzczb.com）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云浮市公共资源交易网（http：//ggzy.yunfu.gov.cn/）、云浮市中策招标咨询服务有限公司（www.yfzczb.com）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简小姐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广东省云浮市新兴县河头镇中心小学崩塌、滑坡地质灾害治理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采购包1（广东省云浮市新兴县河头镇中心小学崩塌、滑坡地质灾害治理工程）：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采购包1（广东省云浮市新兴县河头镇中心小学崩塌、滑坡地质灾害治理工程）：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提供2021年度财务报表或2022年任意一个月度/季度财务报表复印件（新成立的企业或提供基本户开户行出具的资信证明复印件）。</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提供投标截止日前六个月内任意一个月缴纳税收和社会保险的凭据复印件；依法免税或不需要缴纳社会保障资金的供应商应提供相关证明文件复印件。</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合同包1(广东省云浮市新兴县河头镇中心小学崩塌、滑坡地质灾害治理工程)特定资格要求如下: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（3）供应商须具备自然资源主管部门核发的地质灾害治理工程施工单位甲级资质证书，提供有效期内的证书复印件并加盖供应商公章。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促进中小企业发展</w:t>
            </w:r>
          </w:p>
        </w:tc>
        <w:tc>
          <w:tcPr>
            <w:tcW w:type="dxa" w:w="4238"/>
          </w:tcPr>
          <w:p>
            <w:r>
              <w:rPr/>
              <w:t>采购包整体专门面向中小企业，为预留份额的采购项目。</w:t>
            </w:r>
          </w:p>
        </w:tc>
      </w:tr>
    </w:tbl>
    <w:p/>
    <w:p>
      <w:pPr>
        <w:ind w:firstLine="480"/>
      </w:pPr>
      <w:r>
        <w:rPr/>
        <w:t>表二符合性审查表：</w:t>
      </w:r>
    </w:p>
    <w:p>
      <w:pPr>
        <w:ind w:firstLine="480"/>
      </w:pPr>
    </w:p>
    <w:p/>
    <w:p>
      <w:r>
        <w:rPr/>
        <w:t>采购包1（广东省云浮市新兴县河头镇中心小学崩塌、滑坡地质灾害治理工程）：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广东省云浮市新兴县河头镇中心小学崩塌、滑坡地质灾害治理工程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技术部分35.0分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(12.0分)</w:t>
            </w:r>
            <w:r>
              <w:rPr/>
              <w:t>，（等次分值选择：</w:t>
            </w:r>
            <w:r>
              <w:rPr/>
              <w:t>0.0;</w:t>
            </w:r>
            <w:r>
              <w:rPr/>
              <w:t>3.0;</w:t>
            </w:r>
            <w:r>
              <w:rPr/>
              <w:t>6.0;</w:t>
            </w:r>
            <w:r>
              <w:rPr/>
              <w:t>9.0;</w:t>
            </w:r>
            <w:r>
              <w:rPr/>
              <w:t>12.0;</w:t>
            </w:r>
            <w:r>
              <w:rPr/>
              <w:t>）</w:t>
            </w:r>
          </w:p>
        </w:tc>
        <w:tc>
          <w:tcPr>
            <w:tcW w:type="dxa" w:w="5076"/>
          </w:tcPr>
          <w:p>
            <w:pPr>
              <w:jc w:val="left"/>
            </w:pPr>
            <w:r>
              <w:rPr/>
              <w:t>对施工总体部署、主要工程施工方法进行综合评分： （1）方案的可行性、合理性、完善性、针对性强，对本项目工程认识全面、深入，措施具体、科学，得12分； （2）方案的可行性、合理性、完善性、针对性较强，对本项目工程认识较全面、深入，措施较具体、科学，得9分； （3）方案具备一般可行性、合理性、完善性、针对性，对本项目工程有所了解，措施合理，得6分； （4）方案的可行性、合理性、完善性、针对性较差，对本项目工程欠了解，措施不明确，得3分； （5）无提供方案的不得分。</w:t>
            </w:r>
          </w:p>
        </w:tc>
      </w:tr>
      <w:tr>
        <w:tc>
          <w:tcPr>
            <w:tcW w:type="dxa" w:w="922"/>
            <w:gridSpan w:val="2"/>
            <w:vMerge/>
          </w:tcPr>
          <w:p/>
        </w:tc>
        <w:tc>
          <w:tcPr>
            <w:tcW w:type="dxa" w:w="2307"/>
          </w:tcPr>
          <w:p>
            <w:pPr>
              <w:jc w:val="left"/>
            </w:pPr>
            <w:r>
              <w:rPr/>
              <w:t>进度计划及工期保证措施、质量保证措施 (10.0分)</w:t>
            </w:r>
            <w:r>
              <w:rPr/>
              <w:t>，（等次分值选择：</w:t>
            </w:r>
            <w:r>
              <w:rPr/>
              <w:t>0.0;</w:t>
            </w:r>
            <w:r>
              <w:rPr/>
              <w:t>2.0;</w:t>
            </w:r>
            <w:r>
              <w:rPr/>
              <w:t>5.0;</w:t>
            </w:r>
            <w:r>
              <w:rPr/>
              <w:t>8.0;</w:t>
            </w:r>
            <w:r>
              <w:rPr/>
              <w:t>10.0;</w:t>
            </w:r>
            <w:r>
              <w:rPr/>
              <w:t>）</w:t>
            </w:r>
          </w:p>
        </w:tc>
        <w:tc>
          <w:tcPr>
            <w:tcW w:type="dxa" w:w="5076"/>
          </w:tcPr>
          <w:p>
            <w:pPr>
              <w:jc w:val="left"/>
            </w:pPr>
            <w:r>
              <w:rPr/>
              <w:t>对进度计划及工期保证措施、质量保证措施进行综合评分： （1）作出的进度计划满足要求，工期保证措施系统、详尽、合理、有效，质量保证措施周全、可靠，得10分； （2）进度计划较合理，工期保证措施较系统、详尽、合理、有效，质量保证措施较周全、可靠，得8分； （3）进度计划欠合理，有一定的工期保证措施和质量保证措施，得5分； （4）进度计划不合理，对各阶段工期无明确的保证措施及质量保证措施，得2分； （5）无提供方案的不得分。</w:t>
            </w:r>
          </w:p>
        </w:tc>
      </w:tr>
      <w:tr>
        <w:tc>
          <w:tcPr>
            <w:tcW w:type="dxa" w:w="922"/>
            <w:gridSpan w:val="2"/>
            <w:vMerge/>
          </w:tcPr>
          <w:p/>
        </w:tc>
        <w:tc>
          <w:tcPr>
            <w:tcW w:type="dxa" w:w="2307"/>
          </w:tcPr>
          <w:p>
            <w:pPr>
              <w:jc w:val="left"/>
            </w:pPr>
            <w:r>
              <w:rPr/>
              <w:t>安全生产、文明施工与环境保护措施 (10.0分)</w:t>
            </w:r>
            <w:r>
              <w:rPr/>
              <w:t>，（等次分值选择：</w:t>
            </w:r>
            <w:r>
              <w:rPr/>
              <w:t>0.0;</w:t>
            </w:r>
            <w:r>
              <w:rPr/>
              <w:t>2.0;</w:t>
            </w:r>
            <w:r>
              <w:rPr/>
              <w:t>5.0;</w:t>
            </w:r>
            <w:r>
              <w:rPr/>
              <w:t>8.0;</w:t>
            </w:r>
            <w:r>
              <w:rPr/>
              <w:t>10.0;</w:t>
            </w:r>
            <w:r>
              <w:rPr/>
              <w:t>）</w:t>
            </w:r>
          </w:p>
        </w:tc>
        <w:tc>
          <w:tcPr>
            <w:tcW w:type="dxa" w:w="5076"/>
          </w:tcPr>
          <w:p>
            <w:pPr>
              <w:jc w:val="left"/>
            </w:pPr>
            <w:r>
              <w:rPr/>
              <w:t>对安全生产、文明施工与环境保护措施进行综合评分： （1）措施周全、合理、可靠，管理制度完善，得10分； （2）措施较合理、有一定可行性，管理制度较完善，得8分； （3）措施欠合理、可行性一般，有相关管理制度，得5分； （4）措施不明确，管理制度不完善，得2分； （5）无提供方案的不得分。</w:t>
            </w:r>
          </w:p>
        </w:tc>
      </w:tr>
      <w:tr>
        <w:tc>
          <w:tcPr>
            <w:tcW w:type="dxa" w:w="922"/>
            <w:gridSpan w:val="2"/>
            <w:vMerge w:val="restart"/>
          </w:tcPr>
          <w:p>
            <w:pPr>
              <w:jc w:val="center"/>
            </w:pPr>
            <w:r>
              <w:rPr/>
              <w:t>商务部分</w:t>
            </w:r>
          </w:p>
        </w:tc>
        <w:tc>
          <w:tcPr>
            <w:tcW w:type="dxa" w:w="2307"/>
          </w:tcPr>
          <w:p>
            <w:pPr>
              <w:jc w:val="left"/>
            </w:pPr>
            <w:r>
              <w:rPr/>
              <w:t>拟投入人员实力 (11.0分)</w:t>
            </w:r>
          </w:p>
        </w:tc>
        <w:tc>
          <w:tcPr>
            <w:tcW w:type="dxa" w:w="5076"/>
          </w:tcPr>
          <w:p>
            <w:pPr>
              <w:jc w:val="left"/>
            </w:pPr>
            <w:r>
              <w:rPr/>
              <w:t>1、项目负责人（1人，满分2分）： 具备建筑工程/市政公用工程专业二级或以上建造师注册证书并已取得安全生产考核合格证书B证（广东省外供应商的项目负责人必须具备一级建造师注册证书）的，得2分。 2、项目技术负责人（1人，满分2分）： 具备地质/岩土工程类相关专业技术职称：中级的得1分，高级的得1.5分，正高级的得2分。 3、项目负责人或项目技术负责人自2020年1月1日以来（以获奖证书颁发时间为准）获得全省性（省级）或以上地质科学技术奖或国土资源科学技术奖等类似的地质国土类科学技术奖项的：每个得1分，本项满分2分。 4、其他成员（各1人，满分5分）： （1）专职安全员： ①具备安全生产考核合格证书（C证）的，得0.5分； ②具备地质/岩土工程类相关专业高级或以上技术职称的，得1分。 （2）施工员、质量员、材料员： ①具备“住房和城乡建设领域施工现场专业人员职业培训合格证”的：每人得0.5分，本小项满分1.5分； ②上述人员中，有具备地质/岩土工程类相关专业高级或以上技术职称的，得1分。 （3）造价负责人：具备造价工程师注册证书：二级的得0.5分，一级的得1分，本小项满分1分。 【备注：（1）各岗位人员不得相互兼职；（2）响应文件中须提供以上人员相关有效证书复印件及供应商为其购买的投标截止时间前六个月内任意连续三个月的有效社保证明文件复印件（①如因疫情期间当地政府部门允许企业在疫情期间缓缴社会保险费且供应商未缴纳的，供应商可提供当地政府部门允许缓缴社保的相关文件作为缴纳社保的证明。确定成交供应商后，采购人将采取有效措施，核实后续成交供应商管理团队的社保补缴情况。②如单位职工社保由上级主管单位统一购买的，须提供上级主管单位为其购买社保的证明文件复印件及情况说明），各项不提供相应证明材料的不计分。】</w:t>
            </w:r>
          </w:p>
        </w:tc>
      </w:tr>
      <w:tr>
        <w:tc>
          <w:tcPr>
            <w:tcW w:type="dxa" w:w="922"/>
            <w:gridSpan w:val="2"/>
            <w:vMerge/>
          </w:tcPr>
          <w:p/>
        </w:tc>
        <w:tc>
          <w:tcPr>
            <w:tcW w:type="dxa" w:w="2307"/>
          </w:tcPr>
          <w:p>
            <w:pPr>
              <w:jc w:val="left"/>
            </w:pPr>
            <w:r>
              <w:rPr/>
              <w:t>同类项目业绩 (10.0分)</w:t>
            </w:r>
            <w:r>
              <w:rPr/>
              <w:t>，（等次分值选择：</w:t>
            </w:r>
            <w:r>
              <w:rPr/>
              <w:t>0.0;</w:t>
            </w:r>
            <w:r>
              <w:rPr/>
              <w:t>1.0;</w:t>
            </w:r>
            <w:r>
              <w:rPr/>
              <w:t>2.0;</w:t>
            </w:r>
            <w:r>
              <w:rPr/>
              <w:t>3.0;</w:t>
            </w:r>
            <w:r>
              <w:rPr/>
              <w:t>4.0;</w:t>
            </w:r>
            <w:r>
              <w:rPr/>
              <w:t>5.0;</w:t>
            </w:r>
            <w:r>
              <w:rPr/>
              <w:t>6.0;</w:t>
            </w:r>
            <w:r>
              <w:rPr/>
              <w:t>7.0;</w:t>
            </w:r>
            <w:r>
              <w:rPr/>
              <w:t>8.0;</w:t>
            </w:r>
            <w:r>
              <w:rPr/>
              <w:t>9.0;</w:t>
            </w:r>
            <w:r>
              <w:rPr/>
              <w:t>10.0;</w:t>
            </w:r>
            <w:r>
              <w:rPr/>
              <w:t>）</w:t>
            </w:r>
          </w:p>
        </w:tc>
        <w:tc>
          <w:tcPr>
            <w:tcW w:type="dxa" w:w="5076"/>
          </w:tcPr>
          <w:p>
            <w:pPr>
              <w:jc w:val="left"/>
            </w:pPr>
            <w:r>
              <w:rPr/>
              <w:t>供应商自2020年1月1日以来（以合同签订时间为准）独立承接的同类项目业绩：每提供1个得1分，本项最高得10分。 【备注：响应文件中须提供合同关键页复印件，不提供不得分。】</w:t>
            </w:r>
          </w:p>
        </w:tc>
      </w:tr>
      <w:tr>
        <w:tc>
          <w:tcPr>
            <w:tcW w:type="dxa" w:w="922"/>
            <w:gridSpan w:val="2"/>
            <w:vMerge/>
          </w:tcPr>
          <w:p/>
        </w:tc>
        <w:tc>
          <w:tcPr>
            <w:tcW w:type="dxa" w:w="2307"/>
          </w:tcPr>
          <w:p>
            <w:pPr>
              <w:jc w:val="left"/>
            </w:pPr>
            <w:r>
              <w:rPr/>
              <w:t>体系认证 (3.0分)</w:t>
            </w:r>
            <w:r>
              <w:rPr/>
              <w:t>，（等次分值选择：</w:t>
            </w:r>
            <w:r>
              <w:rPr/>
              <w:t>0.0;</w:t>
            </w:r>
            <w:r>
              <w:rPr/>
              <w:t>1.0;</w:t>
            </w:r>
            <w:r>
              <w:rPr/>
              <w:t>2.0;</w:t>
            </w:r>
            <w:r>
              <w:rPr/>
              <w:t>3.0;</w:t>
            </w:r>
            <w:r>
              <w:rPr/>
              <w:t>）</w:t>
            </w:r>
          </w:p>
        </w:tc>
        <w:tc>
          <w:tcPr>
            <w:tcW w:type="dxa" w:w="5076"/>
          </w:tcPr>
          <w:p>
            <w:pPr>
              <w:jc w:val="left"/>
            </w:pPr>
            <w:r>
              <w:rPr/>
              <w:t>供应商具有有效的质量管理体系认证证书、环境管理体系认证证书和职业健康安全管理体系认证证书且认证内容包含地质灾害治理工程施工（或等同于该描述含义的字眼）的：每提供1个得1分，本项最高得3分。 【备注：响应文件中须提供认证证书复印件，不提供不得分。】</w:t>
            </w:r>
          </w:p>
        </w:tc>
      </w:tr>
      <w:tr>
        <w:tc>
          <w:tcPr>
            <w:tcW w:type="dxa" w:w="922"/>
            <w:gridSpan w:val="2"/>
            <w:vMerge/>
          </w:tcPr>
          <w:p/>
        </w:tc>
        <w:tc>
          <w:tcPr>
            <w:tcW w:type="dxa" w:w="2307"/>
          </w:tcPr>
          <w:p>
            <w:pPr>
              <w:jc w:val="left"/>
            </w:pPr>
            <w:r>
              <w:rPr/>
              <w:t>企业嘉奖荣誉 (2.0分)</w:t>
            </w:r>
            <w:r>
              <w:rPr/>
              <w:t>，（等次分值选择：</w:t>
            </w:r>
            <w:r>
              <w:rPr/>
              <w:t>0.0;</w:t>
            </w:r>
            <w:r>
              <w:rPr/>
              <w:t>1.0;</w:t>
            </w:r>
            <w:r>
              <w:rPr/>
              <w:t>2.0;</w:t>
            </w:r>
            <w:r>
              <w:rPr/>
              <w:t>）</w:t>
            </w:r>
          </w:p>
        </w:tc>
        <w:tc>
          <w:tcPr>
            <w:tcW w:type="dxa" w:w="5076"/>
          </w:tcPr>
          <w:p>
            <w:pPr>
              <w:jc w:val="left"/>
            </w:pPr>
            <w:r>
              <w:rPr/>
              <w:t>供应商自2020年1月1日以来（以获奖证书颁发时间为准）获得省级或以上行政主管部门或受其监督的同级行业协会颁发地质科学技术奖或国土资源科学技术奖等类似的地质国土类科学技术奖项的：每提供1个得1分，本项最高得2分。 【备注：响应文件中须提供获奖证书复印件，不提供不得分。】</w:t>
            </w:r>
          </w:p>
        </w:tc>
      </w:tr>
      <w:tr>
        <w:tc>
          <w:tcPr>
            <w:tcW w:type="dxa" w:w="922"/>
            <w:gridSpan w:val="2"/>
            <w:vMerge/>
          </w:tcPr>
          <w:p/>
        </w:tc>
        <w:tc>
          <w:tcPr>
            <w:tcW w:type="dxa" w:w="2307"/>
          </w:tcPr>
          <w:p>
            <w:pPr>
              <w:jc w:val="left"/>
            </w:pPr>
            <w:r>
              <w:rPr/>
              <w:t>信用评价 (2.0分)</w:t>
            </w:r>
            <w:r>
              <w:rPr/>
              <w:t>，（等次分值选择：</w:t>
            </w:r>
            <w:r>
              <w:rPr/>
              <w:t>0.0;</w:t>
            </w:r>
            <w:r>
              <w:rPr/>
              <w:t>2.0;</w:t>
            </w:r>
            <w:r>
              <w:rPr/>
              <w:t>）</w:t>
            </w:r>
          </w:p>
        </w:tc>
        <w:tc>
          <w:tcPr>
            <w:tcW w:type="dxa" w:w="5076"/>
          </w:tcPr>
          <w:p>
            <w:pPr>
              <w:jc w:val="left"/>
            </w:pPr>
            <w:r>
              <w:rPr/>
              <w:t>供应商自2020年1月1日以来（以证书颁发时间为准）获得过行政管理部门颁发的信用方面的证书的，得2分。 【备注：响应文件中须提供相关证书复印件，不提供不得分。】</w:t>
            </w:r>
          </w:p>
        </w:tc>
      </w:tr>
      <w:tr>
        <w:tc>
          <w:tcPr>
            <w:tcW w:type="dxa" w:w="922"/>
            <w:gridSpan w:val="2"/>
            <w:vMerge/>
          </w:tcPr>
          <w:p/>
        </w:tc>
        <w:tc>
          <w:tcPr>
            <w:tcW w:type="dxa" w:w="2307"/>
          </w:tcPr>
          <w:p>
            <w:pPr>
              <w:jc w:val="left"/>
            </w:pPr>
            <w:r>
              <w:rPr/>
              <w:t>综合资历 (3.0分)</w:t>
            </w:r>
            <w:r>
              <w:rPr/>
              <w:t>，（等次分值选择：</w:t>
            </w:r>
            <w:r>
              <w:rPr/>
              <w:t>0.0;</w:t>
            </w:r>
            <w:r>
              <w:rPr/>
              <w:t>1.0;</w:t>
            </w:r>
            <w:r>
              <w:rPr/>
              <w:t>2.0;</w:t>
            </w:r>
            <w:r>
              <w:rPr/>
              <w:t>3.0;</w:t>
            </w:r>
            <w:r>
              <w:rPr/>
              <w:t>）</w:t>
            </w:r>
          </w:p>
        </w:tc>
        <w:tc>
          <w:tcPr>
            <w:tcW w:type="dxa" w:w="5076"/>
          </w:tcPr>
          <w:p>
            <w:pPr>
              <w:jc w:val="left"/>
            </w:pPr>
            <w:r>
              <w:rPr/>
              <w:t>供应商具备开展地质灾害治理工程勘查、设计、评估等关联工作的综合能力，具有自然资源主管部门（原国土资源主管部门）颁发的有效地质灾害治理工程勘查、地质灾害治理工程设计、地质灾害危险性评估单位资质证书的：每提供1个得1分，本项最高得3分。 【备注：响应文件中须提供相关证书复印件，不提供不得分。】</w:t>
            </w:r>
          </w:p>
        </w:tc>
      </w:tr>
      <w:tr>
        <w:tc>
          <w:tcPr>
            <w:tcW w:type="dxa" w:w="922"/>
            <w:gridSpan w:val="2"/>
            <w:vMerge/>
          </w:tcPr>
          <w:p/>
        </w:tc>
        <w:tc>
          <w:tcPr>
            <w:tcW w:type="dxa" w:w="2307"/>
          </w:tcPr>
          <w:p>
            <w:pPr>
              <w:jc w:val="left"/>
            </w:pPr>
            <w:r>
              <w:rPr/>
              <w:t>企业研发能力 (4.0分)</w:t>
            </w:r>
          </w:p>
        </w:tc>
        <w:tc>
          <w:tcPr>
            <w:tcW w:type="dxa" w:w="5076"/>
          </w:tcPr>
          <w:p>
            <w:pPr>
              <w:jc w:val="left"/>
            </w:pPr>
            <w:r>
              <w:rPr/>
              <w:t>供应商自2018年1月1日以来取得工程类知识产权(包括实用新型专利和发明专利）的：每提供1个得0.2分，本项最高得4分。 【备注：响应文件中须提供中华人民共和国国家知识产权局颁发的专利证书复印件，专利权人应仅为供应商，不提供不得分。】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磋商文件要求且投标价格最高的投标报价为评标基准价。）最高报价不是中标的唯一依据。【注：满足磋商文件要求且“XXXX”报价最高（相当于投标价格最低）的为评标基准价。如：投标报价XXXX 60%为报价最高，评标基准价为 1-60%=40%，得满分 30 分；有投标报价为 50%，投标报价为 1-50%=50%；以此类推。】因落实政府采购政策进行价格调整的，以调整后的价格计算评标基准价和投标报价。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即最终报价下浮率由大到小）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r>
        <w:rPr>
          <w:b/>
          <w:sz w:val="21"/>
        </w:rPr>
        <w:t>注：</w:t>
      </w:r>
    </w:p>
    <w:p>
      <w:r>
        <w:rPr>
          <w:b/>
          <w:sz w:val="21"/>
        </w:rPr>
        <w:t>1、本合同为合同的原则性文本，合同签订双方可根据</w:t>
      </w:r>
      <w:r>
        <w:rPr>
          <w:b/>
          <w:sz w:val="21"/>
        </w:rPr>
        <w:t>磋商</w:t>
      </w:r>
      <w:r>
        <w:rPr>
          <w:b/>
          <w:sz w:val="21"/>
        </w:rPr>
        <w:t>文件的要求及响应文件的承诺进行修订。</w:t>
      </w:r>
    </w:p>
    <w:p>
      <w:r>
        <w:rPr>
          <w:b/>
          <w:sz w:val="21"/>
        </w:rPr>
        <w:t>2、根据《关于印发&lt;政府采购促进中小企业发展管理办法&gt;的通知》（财库〔2020〕46号），本合同为中小企业预留合同。</w:t>
      </w:r>
    </w:p>
    <w:p/>
    <w:p>
      <w:pPr>
        <w:jc w:val="center"/>
      </w:pPr>
      <w:r>
        <w:rPr/>
        <w:t xml:space="preserve"> </w:t>
      </w:r>
    </w:p>
    <w:p>
      <w:pPr>
        <w:jc w:val="center"/>
      </w:pPr>
      <w:r>
        <w:rPr/>
        <w:t xml:space="preserve"> </w:t>
      </w:r>
    </w:p>
    <w:p>
      <w:pPr>
        <w:jc w:val="center"/>
      </w:pPr>
      <w:r>
        <w:rPr>
          <w:b/>
          <w:sz w:val="44"/>
        </w:rPr>
        <w:t>合同条款及格式</w:t>
      </w:r>
    </w:p>
    <w:p>
      <w:pPr>
        <w:jc w:val="center"/>
      </w:pP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sz w:val="54"/>
        </w:rPr>
        <w:t>广 东 省 建 设 工 程</w:t>
      </w:r>
    </w:p>
    <w:p/>
    <w:p>
      <w:pPr>
        <w:jc w:val="center"/>
      </w:pPr>
      <w:r>
        <w:rPr>
          <w:sz w:val="54"/>
        </w:rPr>
        <w:t>标 准 施 工 合 同</w:t>
      </w:r>
    </w:p>
    <w:p/>
    <w:p>
      <w:pPr>
        <w:jc w:val="center"/>
      </w:pPr>
      <w:r>
        <w:rPr>
          <w:b/>
          <w:sz w:val="50"/>
        </w:rPr>
        <w:t>2009</w:t>
      </w:r>
      <w:r>
        <w:rPr>
          <w:sz w:val="50"/>
        </w:rPr>
        <w:t xml:space="preserve"> </w:t>
      </w:r>
      <w:r>
        <w:rPr>
          <w:sz w:val="50"/>
        </w:rPr>
        <w:t>年版</w:t>
      </w:r>
    </w:p>
    <w:p/>
    <w:p/>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t xml:space="preserve"> </w:t>
      </w:r>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合同总价（非最终结算价）：</w:t>
      </w:r>
      <w:r>
        <w:rPr>
          <w:sz w:val="21"/>
          <w:u w:val="single"/>
        </w:rPr>
        <w:t xml:space="preserve">                                       </w:t>
      </w:r>
      <w:r>
        <w:rPr>
          <w:sz w:val="21"/>
        </w:rPr>
        <w:t>（大写）；</w:t>
      </w:r>
    </w:p>
    <w:p>
      <w:pPr>
        <w:ind w:firstLine="3150"/>
      </w:pPr>
      <w:r>
        <w:rPr>
          <w:sz w:val="21"/>
          <w:u w:val="single"/>
        </w:rPr>
        <w:t xml:space="preserve">                                       </w:t>
      </w:r>
      <w:r>
        <w:rPr>
          <w:sz w:val="21"/>
        </w:rPr>
        <w:t>（小写）。</w:t>
      </w:r>
    </w:p>
    <w:p>
      <w:pPr>
        <w:ind w:firstLine="420"/>
      </w:pPr>
      <w:r>
        <w:rPr>
          <w:sz w:val="21"/>
        </w:rPr>
        <w:t>中标下浮率：</w:t>
      </w:r>
      <w:r>
        <w:rPr>
          <w:sz w:val="21"/>
          <w:u w:val="single"/>
        </w:rPr>
        <w:t xml:space="preserve">        </w:t>
      </w:r>
      <w:r>
        <w:rPr>
          <w:sz w:val="21"/>
        </w:rPr>
        <w:t>%</w:t>
      </w:r>
    </w:p>
    <w:p>
      <w:pPr>
        <w:ind w:firstLine="420"/>
      </w:pPr>
      <w:r>
        <w:rPr>
          <w:sz w:val="21"/>
        </w:rPr>
        <w:t>项目单价：</w:t>
      </w:r>
      <w:r>
        <w:rPr>
          <w:sz w:val="21"/>
        </w:rPr>
        <w:t>□详见承包人的投标报价书（招标工程）；</w:t>
      </w:r>
    </w:p>
    <w:p>
      <w:pPr>
        <w:ind w:firstLine="1470"/>
      </w:pPr>
      <w:r>
        <w:rPr>
          <w:sz w:val="21"/>
        </w:rPr>
        <w:t>☑详见经确认的工程量清单报价单或施工图预算书（非招标工程）。</w:t>
      </w:r>
    </w:p>
    <w:p>
      <w:pPr>
        <w:ind w:firstLine="420"/>
      </w:pPr>
      <w:r>
        <w:rPr>
          <w:sz w:val="21"/>
        </w:rPr>
        <w:t>注：</w:t>
      </w:r>
      <w:r>
        <w:rPr>
          <w:sz w:val="21"/>
        </w:rPr>
        <w:t>1、</w:t>
      </w:r>
      <w:r>
        <w:rPr>
          <w:sz w:val="21"/>
        </w:rPr>
        <w:t>工程量清单中的工程量不作为最终结算的工程量，用于结算的工程量是承包人实际完成的，并按合同有关计算规定计量的工程量。</w:t>
      </w:r>
    </w:p>
    <w:p>
      <w:pPr>
        <w:ind w:firstLine="420"/>
      </w:pPr>
      <w:r>
        <w:rPr>
          <w:sz w:val="21"/>
        </w:rPr>
        <w:t>2、</w:t>
      </w:r>
      <w:r>
        <w:rPr>
          <w:sz w:val="21"/>
        </w:rPr>
        <w:t>合同价及单价的确定：</w:t>
      </w:r>
    </w:p>
    <w:p>
      <w:pPr>
        <w:ind w:firstLine="420"/>
      </w:pPr>
      <w:r>
        <w:rPr>
          <w:sz w:val="21"/>
        </w:rPr>
        <w:t>（</w:t>
      </w:r>
      <w:r>
        <w:rPr>
          <w:sz w:val="21"/>
        </w:rPr>
        <w:t>1）合同价非最终结算价，合同价＝招标控制价（即采购预算）×（1-承包人中标下浮率）。</w:t>
      </w:r>
    </w:p>
    <w:p>
      <w:pPr>
        <w:ind w:firstLine="420"/>
      </w:pPr>
      <w:r>
        <w:rPr>
          <w:sz w:val="21"/>
        </w:rPr>
        <w:t>（</w:t>
      </w:r>
      <w:r>
        <w:rPr>
          <w:sz w:val="21"/>
        </w:rPr>
        <w:t>2）根据经财政审核部门审定后的预算，得出合同价格的单价，作为计量和结算的依据。</w:t>
      </w:r>
    </w:p>
    <w:p>
      <w:pPr>
        <w:ind w:firstLine="420"/>
      </w:pPr>
      <w:r>
        <w:rPr>
          <w:sz w:val="21"/>
        </w:rPr>
        <w:t>3、</w:t>
      </w:r>
      <w:r>
        <w:rPr>
          <w:sz w:val="21"/>
        </w:rPr>
        <w:t>合同最终结算价＝审定结算建安工程费（由具备审核资格的机构审定）</w:t>
      </w:r>
      <w:r>
        <w:rPr>
          <w:sz w:val="21"/>
        </w:rPr>
        <w:t>×（1-承包人中标下浮率），审定结算建安工程费以财政部门或其授权委托单位审核为准。</w:t>
      </w:r>
    </w:p>
    <w:p>
      <w:pPr>
        <w:ind w:firstLine="420"/>
      </w:pPr>
      <w:r>
        <w:rPr>
          <w:sz w:val="21"/>
        </w:rPr>
        <w:t>4、项目实施过程中，中标下浮率不做任何调整。</w:t>
      </w:r>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pPr>
      <w:r>
        <w:rPr/>
        <w:t xml:space="preserve"> </w:t>
      </w:r>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r>
        <w:rPr/>
        <w:t xml:space="preserve"> </w:t>
      </w:r>
    </w:p>
    <w:p>
      <w:pPr>
        <w:pBdr>
          <w:bottom w:val="single" w:sz="12" w:space="1"/>
        </w:pBdr>
      </w:pPr>
    </w:p>
    <w:p>
      <w:pPr>
        <w:jc w:val="center"/>
      </w:pPr>
    </w:p>
    <w:p>
      <w:pPr>
        <w:jc w:val="cente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10天内</w:t>
      </w:r>
    </w:p>
    <w:p>
      <w:pPr>
        <w:ind w:firstLine="420"/>
      </w:pPr>
      <w:r>
        <w:rPr>
          <w:sz w:val="21"/>
        </w:rPr>
        <w:t>（</w:t>
      </w:r>
      <w:r>
        <w:rPr>
          <w:sz w:val="21"/>
        </w:rPr>
        <w:t>2）施工设计图纸提供的数量：</w:t>
      </w:r>
      <w:r>
        <w:rPr>
          <w:b/>
          <w:sz w:val="21"/>
          <w:u w:val="single"/>
        </w:rPr>
        <w:t>提供</w:t>
      </w:r>
      <w:r>
        <w:rPr>
          <w:b/>
          <w:sz w:val="21"/>
          <w:u w:val="single"/>
        </w:rPr>
        <w:t>4套图纸及一份地质资料</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pPr>
        <w:ind w:firstLine="525"/>
      </w:pPr>
      <w:r>
        <w:rPr>
          <w:sz w:val="21"/>
        </w:rPr>
        <w:t>（</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10天内。</w:t>
      </w:r>
    </w:p>
    <w:p>
      <w:pPr>
        <w:ind w:firstLine="420"/>
      </w:pPr>
      <w:r>
        <w:rPr>
          <w:sz w:val="21"/>
        </w:rPr>
        <w:t>（</w:t>
      </w:r>
      <w:r>
        <w:rPr>
          <w:sz w:val="21"/>
        </w:rPr>
        <w:t>5）办理有关所需证件的约定：</w:t>
      </w:r>
      <w:r>
        <w:rPr>
          <w:b/>
          <w:sz w:val="21"/>
          <w:u w:val="single"/>
        </w:rPr>
        <w:t>合同签订后</w:t>
      </w:r>
      <w:r>
        <w:rPr>
          <w:b/>
          <w:sz w:val="21"/>
          <w:u w:val="single"/>
        </w:rPr>
        <w:t>10天内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合同签订后</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①预付款：支付合同价的30%作工程预付款（含合同价3%的工人工资支付保证金）；工程预付款在合同协议书签订后30天内支付（</w:t>
      </w:r>
      <w:r>
        <w:rPr>
          <w:sz w:val="21"/>
          <w:u w:val="single"/>
        </w:rPr>
        <w:t>承包人</w:t>
      </w:r>
      <w:r>
        <w:rPr>
          <w:sz w:val="21"/>
          <w:u w:val="single"/>
        </w:rPr>
        <w:t>须</w:t>
      </w:r>
      <w:r>
        <w:rPr>
          <w:sz w:val="21"/>
          <w:u w:val="single"/>
        </w:rPr>
        <w:t>同时</w:t>
      </w:r>
      <w:r>
        <w:rPr>
          <w:sz w:val="21"/>
          <w:u w:val="single"/>
        </w:rPr>
        <w:t>提供预付款保函给</w:t>
      </w:r>
      <w:r>
        <w:rPr>
          <w:sz w:val="21"/>
          <w:u w:val="single"/>
        </w:rPr>
        <w:t>发包人</w:t>
      </w:r>
      <w:r>
        <w:rPr>
          <w:sz w:val="21"/>
          <w:u w:val="single"/>
        </w:rPr>
        <w:t>）；</w:t>
      </w:r>
    </w:p>
    <w:p>
      <w:pPr>
        <w:ind w:firstLine="420"/>
      </w:pPr>
      <w:r>
        <w:rPr>
          <w:sz w:val="21"/>
          <w:u w:val="single"/>
        </w:rPr>
        <w:t>②进度款：进度款实行按月支付，按每月完成工程造价的90%比例支付进度款（含合同工程量清单以外的零星项目）；在支付进度款时按当期完成工程造价金额的30%比例扣回预付款，在支付进度款达到合同价的90%时必须扣回全部预付款（即该期进度款支付时对剩余未扣预付款作一次性扣回，不限于当期工程造价的30%比例）；若建设规模缩小的，进度款拨付总额不能超过规模缩小后总造价的90%；</w:t>
      </w:r>
    </w:p>
    <w:p>
      <w:pPr>
        <w:ind w:firstLine="420"/>
      </w:pPr>
      <w:r>
        <w:rPr>
          <w:sz w:val="21"/>
          <w:u w:val="single"/>
        </w:rPr>
        <w:t>③结算款：工程竣工验收合格且工程结算通过审核后十四天内支付到工程结算造价的97%，余款3%作为保修金（按规定采用银行保函、工程保险、工程担保等担保方式替代质量保修金的则不予扣留质量保修金，结算通过审核后一次性支付到工程结算造价的100%）；</w:t>
      </w:r>
    </w:p>
    <w:p>
      <w:pPr>
        <w:ind w:firstLine="420"/>
      </w:pPr>
      <w:r>
        <w:rPr>
          <w:sz w:val="21"/>
          <w:u w:val="single"/>
        </w:rPr>
        <w:t>④质量保修金：在工程竣工验收合格之日起期满壹年后十四天内无息归还（或解除质量保修金担保）；在保修期内，</w:t>
      </w:r>
      <w:r>
        <w:rPr>
          <w:sz w:val="21"/>
          <w:u w:val="single"/>
        </w:rPr>
        <w:t>承包人</w:t>
      </w:r>
      <w:r>
        <w:rPr>
          <w:sz w:val="21"/>
          <w:u w:val="single"/>
        </w:rPr>
        <w:t>须在收到</w:t>
      </w:r>
      <w:r>
        <w:rPr>
          <w:sz w:val="21"/>
          <w:u w:val="single"/>
        </w:rPr>
        <w:t>发包人</w:t>
      </w:r>
      <w:r>
        <w:rPr>
          <w:sz w:val="21"/>
          <w:u w:val="single"/>
        </w:rPr>
        <w:t>的维修通知后</w:t>
      </w:r>
      <w:r>
        <w:rPr>
          <w:sz w:val="21"/>
          <w:u w:val="single"/>
        </w:rPr>
        <w:t>10个日历天内到场维修，逾期不到场的，</w:t>
      </w:r>
      <w:r>
        <w:rPr>
          <w:sz w:val="21"/>
          <w:u w:val="single"/>
        </w:rPr>
        <w:t>发包人</w:t>
      </w:r>
      <w:r>
        <w:rPr>
          <w:sz w:val="21"/>
          <w:u w:val="single"/>
        </w:rPr>
        <w:t>可自行委托第三方进场维修，由此产生的维修费用在质量保修金内扣取。如维修费用超出质量保修金的，</w:t>
      </w:r>
      <w:r>
        <w:rPr>
          <w:sz w:val="21"/>
          <w:u w:val="single"/>
        </w:rPr>
        <w:t>发包人</w:t>
      </w:r>
      <w:r>
        <w:rPr>
          <w:sz w:val="21"/>
          <w:u w:val="single"/>
        </w:rPr>
        <w:t>可向</w:t>
      </w:r>
      <w:r>
        <w:rPr>
          <w:sz w:val="21"/>
          <w:u w:val="single"/>
        </w:rPr>
        <w:t>承包人</w:t>
      </w:r>
      <w:r>
        <w:rPr>
          <w:sz w:val="21"/>
          <w:u w:val="single"/>
        </w:rPr>
        <w:t>追讨赔偿。</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1 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r>
        <w:rPr>
          <w:sz w:val="21"/>
        </w:rPr>
        <w:t>☑ 工程量的偏差；</w:t>
      </w:r>
    </w:p>
    <w:p>
      <w:r>
        <w:rPr>
          <w:sz w:val="21"/>
        </w:rPr>
        <w:t>☑ 工程变更；</w:t>
      </w:r>
    </w:p>
    <w:p>
      <w:r>
        <w:rPr>
          <w:sz w:val="21"/>
        </w:rPr>
        <w:t>□ 物价及后继法律法规的变化；</w:t>
      </w:r>
    </w:p>
    <w:p>
      <w:r>
        <w:rPr>
          <w:sz w:val="21"/>
        </w:rPr>
        <w:t>☑ 费用索赔事件或发包人负责的其他情况；</w:t>
      </w:r>
    </w:p>
    <w:p>
      <w:r>
        <w:rPr>
          <w:sz w:val="21"/>
        </w:rPr>
        <w:t>□ 工程造价管理机构发布的造价调整；</w:t>
      </w:r>
    </w:p>
    <w:p>
      <w:r>
        <w:rPr>
          <w:sz w:val="21"/>
        </w:rPr>
        <w:t>☑ 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r>
        <w:rPr>
          <w:sz w:val="21"/>
          <w:u w:val="single"/>
        </w:rPr>
        <w:t xml:space="preserve">  </w:t>
      </w:r>
      <w:r>
        <w:rPr>
          <w:sz w:val="21"/>
          <w:u w:val="single"/>
        </w:rPr>
        <w:t xml:space="preserve">/  </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 没约定预付款的，本款不适用。</w:t>
      </w:r>
    </w:p>
    <w:p>
      <w:pPr>
        <w:ind w:firstLine="420"/>
      </w:pPr>
      <w:r>
        <w:rPr>
          <w:sz w:val="21"/>
        </w:rPr>
        <w:t>☑</w:t>
      </w:r>
      <w:r>
        <w:rPr>
          <w:sz w:val="21"/>
        </w:rPr>
        <w:t>约定预付款的，预付款的金额为</w:t>
      </w:r>
      <w:r>
        <w:rPr>
          <w:b/>
          <w:sz w:val="21"/>
          <w:u w:val="single"/>
        </w:rPr>
        <w:t xml:space="preserve">  </w:t>
      </w:r>
      <w:r>
        <w:rPr>
          <w:b/>
          <w:sz w:val="21"/>
          <w:u w:val="single"/>
        </w:rPr>
        <w:t>合同价的</w:t>
      </w:r>
      <w:r>
        <w:rPr>
          <w:b/>
          <w:sz w:val="21"/>
          <w:u w:val="single"/>
        </w:rPr>
        <w:t>30%（含合同价3%的工人工资支付保证金）</w:t>
      </w:r>
      <w:r>
        <w:rPr>
          <w:sz w:val="21"/>
        </w:rPr>
        <w:t>。</w:t>
      </w:r>
    </w:p>
    <w:p>
      <w:r>
        <w:rPr>
          <w:sz w:val="21"/>
        </w:rPr>
        <w:t>79.2  预付款支付申请的约定：</w:t>
      </w:r>
      <w:r>
        <w:rPr>
          <w:b/>
          <w:sz w:val="21"/>
          <w:u w:val="single"/>
        </w:rPr>
        <w:t>在合同协议书签订后</w:t>
      </w:r>
      <w:r>
        <w:rPr>
          <w:b/>
          <w:sz w:val="21"/>
          <w:u w:val="single"/>
        </w:rPr>
        <w:t>30天内支付</w:t>
      </w:r>
      <w:r>
        <w:rPr>
          <w:b/>
          <w:sz w:val="21"/>
          <w:u w:val="single"/>
        </w:rPr>
        <w:t>（承包人须同时提供预付款保函给发包人）</w:t>
      </w:r>
    </w:p>
    <w:p>
      <w:r>
        <w:rPr>
          <w:sz w:val="21"/>
        </w:rPr>
        <w:t>79.4  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3</w:t>
      </w:r>
      <w:r>
        <w:rPr>
          <w:b/>
          <w:sz w:val="21"/>
          <w:u w:val="single"/>
        </w:rPr>
        <w:t>0</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r>
        <w:rPr>
          <w:b/>
          <w:sz w:val="21"/>
          <w:u w:val="single"/>
        </w:rPr>
        <w:t>安全生产文明施工措施费（按承包人投标报价费用）分阶段划拨，承包人应当根据不同阶段对安全生产、文明施工的要求采取相应的措施，由监理单位签署验收意见，经工程建设安全监督机构（以下简称安监机构）阶段安全评价合格后，发包人在一周内划拨给承包人；阶段安全评价不合格者，发包人不再划拨安全生产文明施工措施费给承包人，待整改合格后，方才继续划拨。分阶段拨付安全文明施工措施费的比例如下：</w:t>
      </w:r>
    </w:p>
    <w:p>
      <w:pPr>
        <w:ind w:firstLine="201"/>
      </w:pPr>
    </w:p>
    <w:tbl>
      <w:tblPr>
        <w:tblW w:w="0" w:type="auto"/>
        <w:tblBorders>
          <w:top w:val="none" w:color="000000" w:sz="4"/>
          <w:left w:val="none" w:color="000000" w:sz="4"/>
          <w:bottom w:val="none" w:color="000000" w:sz="4"/>
          <w:right w:val="none" w:color="000000" w:sz="4"/>
          <w:insideH w:val="none"/>
          <w:insideV w:val="none"/>
        </w:tblBorders>
      </w:tblPr>
      <w:tblGrid>
        <w:gridCol w:w="4906"/>
        <w:gridCol w:w="3400"/>
      </w:tblGrid>
      <w:tr>
        <w:tc>
          <w:tcPr>
            <w:tcW w:type="dxa" w:w="4906"/>
            <w:tcBorders>
              <w:top w:val="single" w:color="000000" w:sz="4"/>
              <w:left w:val="single" w:color="000000" w:sz="4"/>
              <w:bottom w:val="single" w:color="000000" w:sz="4"/>
              <w:right w:val="single" w:color="000000" w:sz="4"/>
            </w:tcBorders>
            <w:vAlign w:val="top"/>
          </w:tcPr>
          <w:p>
            <w:pPr>
              <w:jc w:val="center"/>
            </w:pPr>
            <w:r>
              <w:rPr>
                <w:sz w:val="21"/>
              </w:rPr>
              <w:t>施工阶段评价合格</w:t>
            </w:r>
          </w:p>
        </w:tc>
        <w:tc>
          <w:tcPr>
            <w:tcW w:type="dxa" w:w="3400"/>
            <w:tcBorders>
              <w:top w:val="single" w:color="000000" w:sz="4"/>
              <w:left w:val="single" w:color="000000" w:sz="4"/>
              <w:bottom w:val="single" w:color="000000" w:sz="4"/>
              <w:right w:val="single" w:color="000000" w:sz="4"/>
            </w:tcBorders>
            <w:vAlign w:val="top"/>
          </w:tcPr>
          <w:p>
            <w:pPr>
              <w:jc w:val="center"/>
            </w:pPr>
            <w:r>
              <w:rPr>
                <w:sz w:val="21"/>
              </w:rPr>
              <w:t>措施费划拨比例</w:t>
            </w:r>
          </w:p>
        </w:tc>
      </w:tr>
      <w:tr>
        <w:tc>
          <w:tcPr>
            <w:tcW w:type="dxa" w:w="4906"/>
            <w:tcBorders>
              <w:top w:val="none" w:color="000000" w:sz="4"/>
              <w:left w:val="single" w:color="000000" w:sz="4"/>
              <w:bottom w:val="single" w:color="000000" w:sz="4"/>
              <w:right w:val="single" w:color="000000" w:sz="4"/>
            </w:tcBorders>
            <w:vAlign w:val="top"/>
          </w:tcPr>
          <w:p>
            <w:r>
              <w:rPr>
                <w:sz w:val="21"/>
              </w:rPr>
              <w:t>施工准备评价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50%</w:t>
            </w:r>
          </w:p>
        </w:tc>
      </w:tr>
      <w:tr>
        <w:tc>
          <w:tcPr>
            <w:tcW w:type="dxa" w:w="4906"/>
            <w:tcBorders>
              <w:top w:val="none" w:color="000000" w:sz="4"/>
              <w:left w:val="single" w:color="000000" w:sz="4"/>
              <w:bottom w:val="single" w:color="000000" w:sz="4"/>
              <w:right w:val="single" w:color="000000" w:sz="4"/>
            </w:tcBorders>
            <w:vAlign w:val="top"/>
          </w:tcPr>
          <w:p>
            <w:r>
              <w:rPr>
                <w:sz w:val="21"/>
              </w:rPr>
              <w:t>达标评价（开工一个月或完成工程量</w:t>
            </w:r>
            <w:r>
              <w:rPr>
                <w:sz w:val="21"/>
              </w:rPr>
              <w:t>15%）</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40%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70%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竣工评价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20%</w:t>
            </w:r>
          </w:p>
        </w:tc>
      </w:tr>
    </w:tbl>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 以形象进度为准，具体为：</w:t>
      </w:r>
      <w:r>
        <w:rPr>
          <w:b/>
          <w:sz w:val="21"/>
          <w:u w:val="single"/>
        </w:rPr>
        <w:t xml:space="preserve">                           </w:t>
      </w:r>
    </w:p>
    <w:p>
      <w:pPr>
        <w:ind w:firstLine="422"/>
        <w:jc w:val="both"/>
      </w:pPr>
      <w:r>
        <w:rPr>
          <w:sz w:val="21"/>
        </w:rPr>
        <w:t>☑</w:t>
      </w:r>
      <w:r>
        <w:rPr>
          <w:sz w:val="21"/>
        </w:rPr>
        <w:t xml:space="preserve"> </w:t>
      </w:r>
      <w:r>
        <w:rPr>
          <w:sz w:val="21"/>
        </w:rPr>
        <w:t>本期间应支付或扣留（扣回）的其他款项：</w:t>
      </w:r>
      <w:r>
        <w:rPr>
          <w:b/>
          <w:sz w:val="21"/>
          <w:u w:val="single"/>
        </w:rPr>
        <w:t>扣回</w:t>
      </w:r>
      <w:r>
        <w:rPr>
          <w:b/>
          <w:sz w:val="21"/>
          <w:u w:val="single"/>
        </w:rPr>
        <w:t>30%预付款</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 xml:space="preserve"> </w:t>
      </w:r>
      <w:r>
        <w:rPr>
          <w:sz w:val="21"/>
          <w:u w:val="single"/>
        </w:rPr>
        <w:t>工程竣工验收合格且工程结算通过审核后十四天内支付到工程结算造价的</w:t>
      </w:r>
      <w:r>
        <w:rPr>
          <w:sz w:val="21"/>
          <w:u w:val="single"/>
        </w:rPr>
        <w:t>97%，余款3%作为保修金（按规定采用银行保函、工程保险、工程担保等担保方式替代质量保修金的则不予扣留质量保修金，结算通过审核后一次性支付到工程结算造价的100%）</w:t>
      </w:r>
      <w:r>
        <w:rPr>
          <w:sz w:val="21"/>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 按合同通用条款的规定，即按合同价款的3%。</w:t>
      </w:r>
    </w:p>
    <w:p>
      <w:pPr>
        <w:ind w:firstLine="420"/>
      </w:pPr>
      <w:r>
        <w:rPr>
          <w:sz w:val="21"/>
        </w:rPr>
        <w:t>☑</w:t>
      </w:r>
      <w:r>
        <w:rPr>
          <w:sz w:val="21"/>
        </w:rPr>
        <w:t xml:space="preserve"> </w:t>
      </w:r>
      <w:r>
        <w:rPr>
          <w:sz w:val="21"/>
        </w:rPr>
        <w:t>其他：</w:t>
      </w:r>
      <w:r>
        <w:rPr>
          <w:sz w:val="21"/>
          <w:u w:val="single"/>
        </w:rPr>
        <w:t xml:space="preserve"> </w:t>
      </w:r>
      <w:r>
        <w:rPr>
          <w:sz w:val="21"/>
          <w:u w:val="single"/>
        </w:rPr>
        <w:t>最终结算价的</w:t>
      </w:r>
      <w:r>
        <w:rPr>
          <w:sz w:val="21"/>
          <w:u w:val="single"/>
        </w:rPr>
        <w:t>3%</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 其他方式：</w:t>
      </w:r>
      <w:r>
        <w:rPr>
          <w:sz w:val="21"/>
          <w:u w:val="single"/>
        </w:rPr>
        <w:t xml:space="preserve"> </w:t>
      </w:r>
      <w:r>
        <w:rPr>
          <w:sz w:val="21"/>
          <w:u w:val="single"/>
        </w:rPr>
        <w:t>在工程结算造价中一次性扣留质量保修金（按规定采用银行保函、工程保险、工程担保等担保方式替代质量保修金的则不予扣留质量保修金）</w:t>
      </w:r>
      <w:r>
        <w:rPr>
          <w:sz w:val="21"/>
          <w:u w:val="single"/>
        </w:rPr>
        <w:t xml:space="preserve">  </w:t>
      </w:r>
      <w:r>
        <w:rPr>
          <w:sz w:val="21"/>
        </w:rPr>
        <w:t>。</w:t>
      </w:r>
    </w:p>
    <w:p>
      <w:r>
        <w:rPr>
          <w:sz w:val="21"/>
        </w:rPr>
        <w:t>84.3  质量保证金的返还时间：</w:t>
      </w:r>
      <w:r>
        <w:rPr>
          <w:sz w:val="21"/>
          <w:u w:val="single"/>
        </w:rPr>
        <w:t xml:space="preserve"> </w:t>
      </w:r>
      <w:r>
        <w:rPr>
          <w:sz w:val="21"/>
          <w:u w:val="single"/>
        </w:rPr>
        <w:t>在工程竣工验收合格之日起期满壹年后十四天内无息归还（或解除质量保修金担保）</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w:t>
      </w:r>
      <w:r>
        <w:rPr>
          <w:sz w:val="21"/>
        </w:rPr>
        <w:t>10</w:t>
      </w:r>
      <w:r>
        <w:rPr>
          <w:sz w:val="21"/>
        </w:rPr>
        <w:t>天内派人保修。承包人未能在规定时间内派人保修的，发包人可自行或委托第三方保修。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t xml:space="preserve"> </w:t>
      </w:r>
    </w:p>
    <w:p>
      <w:pPr>
        <w:ind w:firstLine="105"/>
        <w:jc w:val="center"/>
      </w:pPr>
    </w:p>
    <w:p/>
    <w:p>
      <w:pPr>
        <w:pBdr>
          <w:bottom w:val="single" w:sz="12" w:space="1"/>
        </w:pBdr>
      </w:pPr>
    </w:p>
    <w:p>
      <w:pPr>
        <w:jc w:val="center"/>
      </w:pPr>
      <w:r>
        <w:rPr>
          <w:sz w:val="36"/>
        </w:rPr>
        <w:t>第四部分</w:t>
      </w:r>
      <w:r>
        <w:rPr>
          <w:sz w:val="36"/>
        </w:rPr>
        <w:t xml:space="preserve"> </w:t>
      </w:r>
      <w:r>
        <w:rPr>
          <w:sz w:val="36"/>
        </w:rPr>
        <w:t>合同特别条款</w:t>
      </w:r>
    </w:p>
    <w:p>
      <w:r>
        <w:rPr/>
        <w:t xml:space="preserve"> </w:t>
      </w:r>
    </w:p>
    <w:p>
      <w:pPr>
        <w:ind w:firstLine="422"/>
      </w:pPr>
      <w:r>
        <w:rPr>
          <w:b/>
          <w:sz w:val="21"/>
          <w:u w:val="single"/>
        </w:rPr>
        <w:t>1．项目管理班子</w:t>
      </w:r>
    </w:p>
    <w:p>
      <w:pPr>
        <w:ind w:firstLine="422"/>
      </w:pPr>
      <w:r>
        <w:rPr>
          <w:b/>
          <w:sz w:val="21"/>
          <w:u w:val="single"/>
        </w:rPr>
        <w:t>（</w:t>
      </w:r>
      <w:r>
        <w:rPr>
          <w:b/>
          <w:sz w:val="21"/>
          <w:u w:val="single"/>
        </w:rPr>
        <w:t>1）本项目管理班子设项目负责人（建造师）1人，全权负责项目管理工作，直接对发包人负责。根据工程需要下设若干专业技术人员，具体项目管理班子配备要求如下：</w:t>
      </w:r>
    </w:p>
    <w:tbl>
      <w:tblPr>
        <w:tblW w:w="0" w:type="auto"/>
        <w:tblBorders>
          <w:top w:val="none" w:color="000000" w:sz="4"/>
          <w:left w:val="none" w:color="000000" w:sz="4"/>
          <w:bottom w:val="none" w:color="000000" w:sz="4"/>
          <w:right w:val="none" w:color="000000" w:sz="4"/>
          <w:insideH w:val="none"/>
          <w:insideV w:val="none"/>
        </w:tblBorders>
      </w:tblPr>
      <w:tblGrid>
        <w:gridCol w:w="594"/>
        <w:gridCol w:w="1013"/>
        <w:gridCol w:w="635"/>
        <w:gridCol w:w="891"/>
        <w:gridCol w:w="1148"/>
        <w:gridCol w:w="1783"/>
        <w:gridCol w:w="1134"/>
        <w:gridCol w:w="1107"/>
      </w:tblGrid>
      <w:tr>
        <w:tc>
          <w:tcPr>
            <w:tcW w:type="dxa" w:w="594"/>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013"/>
            <w:tcBorders>
              <w:top w:val="single" w:color="000000" w:sz="4"/>
              <w:left w:val="single" w:color="000000" w:sz="4"/>
              <w:bottom w:val="single" w:color="000000" w:sz="4"/>
              <w:right w:val="single" w:color="000000" w:sz="4"/>
            </w:tcBorders>
            <w:vAlign w:val="top"/>
          </w:tcPr>
          <w:p>
            <w:pPr>
              <w:jc w:val="center"/>
            </w:pPr>
            <w:r>
              <w:rPr>
                <w:sz w:val="21"/>
              </w:rPr>
              <w:t>姓名</w:t>
            </w:r>
          </w:p>
        </w:tc>
        <w:tc>
          <w:tcPr>
            <w:tcW w:type="dxa" w:w="635"/>
            <w:tcBorders>
              <w:top w:val="single" w:color="000000" w:sz="4"/>
              <w:left w:val="single" w:color="000000" w:sz="4"/>
              <w:bottom w:val="single" w:color="000000" w:sz="4"/>
              <w:right w:val="single" w:color="000000" w:sz="4"/>
            </w:tcBorders>
            <w:vAlign w:val="top"/>
          </w:tcPr>
          <w:p>
            <w:pPr>
              <w:jc w:val="center"/>
            </w:pPr>
            <w:r>
              <w:rPr>
                <w:sz w:val="21"/>
              </w:rPr>
              <w:t>年龄</w:t>
            </w:r>
          </w:p>
        </w:tc>
        <w:tc>
          <w:tcPr>
            <w:tcW w:type="dxa" w:w="891"/>
            <w:tcBorders>
              <w:top w:val="single" w:color="000000" w:sz="4"/>
              <w:left w:val="single" w:color="000000" w:sz="4"/>
              <w:bottom w:val="single" w:color="000000" w:sz="4"/>
              <w:right w:val="single" w:color="000000" w:sz="4"/>
            </w:tcBorders>
            <w:vAlign w:val="top"/>
          </w:tcPr>
          <w:p>
            <w:pPr>
              <w:jc w:val="center"/>
            </w:pPr>
            <w:r>
              <w:rPr>
                <w:sz w:val="21"/>
              </w:rPr>
              <w:t>职称</w:t>
            </w:r>
          </w:p>
        </w:tc>
        <w:tc>
          <w:tcPr>
            <w:tcW w:type="dxa" w:w="1148"/>
            <w:tcBorders>
              <w:top w:val="single" w:color="000000" w:sz="4"/>
              <w:left w:val="single" w:color="000000" w:sz="4"/>
              <w:bottom w:val="single" w:color="000000" w:sz="4"/>
              <w:right w:val="single" w:color="000000" w:sz="4"/>
            </w:tcBorders>
            <w:vAlign w:val="top"/>
          </w:tcPr>
          <w:p>
            <w:pPr>
              <w:jc w:val="center"/>
            </w:pPr>
            <w:r>
              <w:rPr>
                <w:sz w:val="21"/>
              </w:rPr>
              <w:t>所学专业</w:t>
            </w:r>
          </w:p>
        </w:tc>
        <w:tc>
          <w:tcPr>
            <w:tcW w:type="dxa" w:w="1783"/>
            <w:tcBorders>
              <w:top w:val="single" w:color="000000" w:sz="4"/>
              <w:left w:val="single" w:color="000000" w:sz="4"/>
              <w:bottom w:val="single" w:color="000000" w:sz="4"/>
              <w:right w:val="single" w:color="000000" w:sz="4"/>
            </w:tcBorders>
            <w:vAlign w:val="top"/>
          </w:tcPr>
          <w:p>
            <w:pPr>
              <w:jc w:val="center"/>
            </w:pPr>
            <w:r>
              <w:rPr>
                <w:sz w:val="21"/>
              </w:rPr>
              <w:t>本项目拟任岗位</w:t>
            </w:r>
          </w:p>
        </w:tc>
        <w:tc>
          <w:tcPr>
            <w:tcW w:type="dxa" w:w="1134"/>
            <w:tcBorders>
              <w:top w:val="single" w:color="000000" w:sz="4"/>
              <w:left w:val="single" w:color="000000" w:sz="4"/>
              <w:bottom w:val="single" w:color="000000" w:sz="4"/>
              <w:right w:val="single" w:color="000000" w:sz="4"/>
            </w:tcBorders>
            <w:vAlign w:val="top"/>
          </w:tcPr>
          <w:p>
            <w:pPr>
              <w:jc w:val="center"/>
            </w:pPr>
            <w:r>
              <w:rPr>
                <w:sz w:val="21"/>
              </w:rPr>
              <w:t>上岗资格证</w:t>
            </w:r>
          </w:p>
        </w:tc>
        <w:tc>
          <w:tcPr>
            <w:tcW w:type="dxa" w:w="1107"/>
            <w:tcBorders>
              <w:top w:val="single" w:color="000000" w:sz="4"/>
              <w:left w:val="single" w:color="000000" w:sz="4"/>
              <w:bottom w:val="single" w:color="000000" w:sz="4"/>
              <w:right w:val="single" w:color="000000" w:sz="4"/>
            </w:tcBorders>
            <w:vAlign w:val="top"/>
          </w:tcPr>
          <w:p>
            <w:pPr>
              <w:jc w:val="center"/>
            </w:pPr>
            <w:r>
              <w:rPr>
                <w:sz w:val="21"/>
              </w:rPr>
              <w:t>进场时间</w:t>
            </w: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项目负责人</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项目技术负责人</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r>
              <w:rPr>
                <w:sz w:val="21"/>
              </w:rPr>
              <w:t>……</w:t>
            </w: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r>
        <w:tc>
          <w:tcPr>
            <w:tcW w:type="dxa" w:w="594"/>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013"/>
            <w:tcBorders>
              <w:top w:val="none" w:color="000000" w:sz="4"/>
              <w:left w:val="single" w:color="000000" w:sz="4"/>
              <w:bottom w:val="single" w:color="000000" w:sz="4"/>
              <w:right w:val="single" w:color="000000" w:sz="4"/>
            </w:tcBorders>
            <w:vAlign w:val="top"/>
          </w:tcPr>
          <w:p/>
        </w:tc>
        <w:tc>
          <w:tcPr>
            <w:tcW w:type="dxa" w:w="635"/>
            <w:tcBorders>
              <w:top w:val="none" w:color="000000" w:sz="4"/>
              <w:left w:val="single" w:color="000000" w:sz="4"/>
              <w:bottom w:val="single" w:color="000000" w:sz="4"/>
              <w:right w:val="single" w:color="000000" w:sz="4"/>
            </w:tcBorders>
            <w:vAlign w:val="top"/>
          </w:tcPr>
          <w:p/>
        </w:tc>
        <w:tc>
          <w:tcPr>
            <w:tcW w:type="dxa" w:w="891"/>
            <w:tcBorders>
              <w:top w:val="none" w:color="000000" w:sz="4"/>
              <w:left w:val="single" w:color="000000" w:sz="4"/>
              <w:bottom w:val="single" w:color="000000" w:sz="4"/>
              <w:right w:val="single" w:color="000000" w:sz="4"/>
            </w:tcBorders>
            <w:vAlign w:val="top"/>
          </w:tcPr>
          <w:p/>
        </w:tc>
        <w:tc>
          <w:tcPr>
            <w:tcW w:type="dxa" w:w="1148"/>
            <w:tcBorders>
              <w:top w:val="none" w:color="000000" w:sz="4"/>
              <w:left w:val="single" w:color="000000" w:sz="4"/>
              <w:bottom w:val="single" w:color="000000" w:sz="4"/>
              <w:right w:val="single" w:color="000000" w:sz="4"/>
            </w:tcBorders>
            <w:vAlign w:val="top"/>
          </w:tcPr>
          <w:p/>
        </w:tc>
        <w:tc>
          <w:tcPr>
            <w:tcW w:type="dxa" w:w="1783"/>
            <w:tcBorders>
              <w:top w:val="none" w:color="000000" w:sz="4"/>
              <w:left w:val="single" w:color="000000" w:sz="4"/>
              <w:bottom w:val="single" w:color="000000" w:sz="4"/>
              <w:right w:val="single" w:color="000000" w:sz="4"/>
            </w:tcBorders>
            <w:vAlign w:val="top"/>
          </w:tcPr>
          <w:p>
            <w:pPr>
              <w:jc w:val="center"/>
            </w:pPr>
          </w:p>
        </w:tc>
        <w:tc>
          <w:tcPr>
            <w:tcW w:type="dxa" w:w="1134"/>
            <w:tcBorders>
              <w:top w:val="none" w:color="000000" w:sz="4"/>
              <w:left w:val="single" w:color="000000" w:sz="4"/>
              <w:bottom w:val="single" w:color="000000" w:sz="4"/>
              <w:right w:val="single" w:color="000000" w:sz="4"/>
            </w:tcBorders>
            <w:vAlign w:val="top"/>
          </w:tcPr>
          <w:p/>
        </w:tc>
        <w:tc>
          <w:tcPr>
            <w:tcW w:type="dxa" w:w="1107"/>
            <w:tcBorders>
              <w:top w:val="none" w:color="000000" w:sz="4"/>
              <w:left w:val="single" w:color="000000" w:sz="4"/>
              <w:bottom w:val="single" w:color="000000" w:sz="4"/>
              <w:right w:val="single" w:color="000000" w:sz="4"/>
            </w:tcBorders>
            <w:vAlign w:val="top"/>
          </w:tcPr>
          <w:p/>
        </w:tc>
      </w:tr>
    </w:tbl>
    <w:p>
      <w:pPr>
        <w:ind w:firstLine="422"/>
      </w:pPr>
      <w:r>
        <w:rPr>
          <w:b/>
          <w:sz w:val="21"/>
          <w:u w:val="single"/>
        </w:rPr>
        <w:t>（</w:t>
      </w:r>
      <w:r>
        <w:rPr>
          <w:b/>
          <w:sz w:val="21"/>
          <w:u w:val="single"/>
        </w:rPr>
        <w:t>2）上述项目管理班子设置、人员安排、职责范围等，一经发包人批准，其主要项目管理班子人员（包括项目负责人、项目技术负责人）未经发包人批准不得撤换，否则视为承包人严重违约。</w:t>
      </w:r>
    </w:p>
    <w:p>
      <w:pPr>
        <w:ind w:firstLine="422"/>
      </w:pPr>
      <w:r>
        <w:rPr>
          <w:b/>
          <w:sz w:val="21"/>
          <w:u w:val="single"/>
        </w:rPr>
        <w:t>（</w:t>
      </w:r>
      <w:r>
        <w:rPr>
          <w:b/>
          <w:sz w:val="21"/>
          <w:u w:val="single"/>
        </w:rPr>
        <w:t>3）施工阶段承包人投入到本项目的项目管理班子人员必须满足工作需求，人员必须满足项目管理班子配备要求规定，否则发包人有权扣除相应的违约金。</w:t>
      </w:r>
    </w:p>
    <w:p>
      <w:pPr>
        <w:ind w:firstLine="422"/>
      </w:pPr>
      <w:r>
        <w:rPr>
          <w:b/>
          <w:sz w:val="21"/>
          <w:u w:val="single"/>
        </w:rPr>
        <w:t>2、关于项目管理班子的要求：</w:t>
      </w:r>
    </w:p>
    <w:p>
      <w:pPr>
        <w:ind w:firstLine="422"/>
      </w:pPr>
      <w:r>
        <w:rPr>
          <w:b/>
          <w:sz w:val="21"/>
          <w:u w:val="single"/>
        </w:rPr>
        <w:t>为保证承包人在合同期内完成承担的施工任务，要求项目管理班子成员应常驻现场，不得擅自离开工地或更换，离开工地现场一天及以上应向发包人书面请假报批，每月累计不应超过一天，否则按如下方式进行处罚：</w:t>
      </w:r>
    </w:p>
    <w:p>
      <w:pPr>
        <w:ind w:firstLine="422"/>
      </w:pPr>
      <w:r>
        <w:rPr>
          <w:b/>
          <w:sz w:val="21"/>
          <w:u w:val="single"/>
        </w:rPr>
        <w:t>（</w:t>
      </w:r>
      <w:r>
        <w:rPr>
          <w:b/>
          <w:sz w:val="21"/>
          <w:u w:val="single"/>
        </w:rPr>
        <w:t>1）项目负责人更换的处罚：每更换一次项目负责人处违约金合同价的2%。</w:t>
      </w:r>
    </w:p>
    <w:p>
      <w:pPr>
        <w:ind w:firstLine="422"/>
      </w:pPr>
      <w:r>
        <w:rPr>
          <w:b/>
          <w:sz w:val="21"/>
          <w:u w:val="single"/>
        </w:rPr>
        <w:t>（</w:t>
      </w:r>
      <w:r>
        <w:rPr>
          <w:b/>
          <w:sz w:val="21"/>
          <w:u w:val="single"/>
        </w:rPr>
        <w:t>2）项目管理班子其他成员每更换一人次，处违约金10000元/人次。</w:t>
      </w:r>
    </w:p>
    <w:p>
      <w:pPr>
        <w:ind w:firstLine="422"/>
      </w:pPr>
      <w:r>
        <w:rPr>
          <w:b/>
          <w:sz w:val="21"/>
          <w:u w:val="single"/>
        </w:rPr>
        <w:t>（</w:t>
      </w:r>
      <w:r>
        <w:rPr>
          <w:b/>
          <w:sz w:val="21"/>
          <w:u w:val="single"/>
        </w:rPr>
        <w:t>3）根据工程实际情况和承包人项目管理班子应进场的人员必须按时到位，否则按未到位人数处违约金每天3000元/人。</w:t>
      </w:r>
    </w:p>
    <w:p>
      <w:pPr>
        <w:ind w:firstLine="422"/>
      </w:pPr>
      <w:r>
        <w:rPr>
          <w:b/>
          <w:sz w:val="21"/>
          <w:u w:val="single"/>
        </w:rPr>
        <w:t>上述人员的更换属下列原因的，可免予处违约金：（一）因重病或者重伤（持有县、区以上医院证明）两个月以上不能履行职责的；（二）因违法被责令停止执业的；（三）因犯罪被羁押或者判刑的；（四）死亡。</w:t>
      </w:r>
    </w:p>
    <w:p>
      <w:pPr>
        <w:ind w:firstLine="422"/>
      </w:pPr>
      <w:r>
        <w:rPr>
          <w:b/>
          <w:sz w:val="21"/>
          <w:u w:val="single"/>
        </w:rPr>
        <w:t>3、施工合同的履约评价</w:t>
      </w:r>
    </w:p>
    <w:p>
      <w:pPr>
        <w:ind w:firstLine="422"/>
      </w:pPr>
      <w:r>
        <w:rPr>
          <w:b/>
          <w:sz w:val="21"/>
          <w:u w:val="single"/>
        </w:rPr>
        <w:t>发包人定期对承包人的合同履行情况进行评价。最终履约评价被评为</w:t>
      </w:r>
      <w:r>
        <w:rPr>
          <w:b/>
          <w:sz w:val="21"/>
          <w:u w:val="single"/>
        </w:rPr>
        <w:t>“不合格”的，发包人将按程序上报建设行政主管部门建议处分。</w:t>
      </w:r>
    </w:p>
    <w:p>
      <w:pPr>
        <w:ind w:firstLine="422"/>
      </w:pPr>
      <w:r>
        <w:rPr>
          <w:b/>
          <w:sz w:val="21"/>
          <w:u w:val="single"/>
        </w:rPr>
        <w:t>4、承包人在履约期内如果违约，给工程造成损失，应承担由此造成的经济损失。发包人可视承包人违反合同的情况，按约定承包人应当支付违约金的数额或计算方法处以违约金，因承包人违约给发包人造成的损失，承包人除应当支付违约金外，赔偿因此给发包人造成的实际损失，发包人有权终止合同。</w:t>
      </w:r>
    </w:p>
    <w:p>
      <w:pPr>
        <w:ind w:firstLine="562"/>
        <w:jc w:val="center"/>
      </w:pPr>
      <w:r>
        <w:rPr>
          <w:b/>
          <w:sz w:val="28"/>
        </w:rPr>
        <w:t>安全文明施工违约项目一览表</w:t>
      </w:r>
    </w:p>
    <w:tbl>
      <w:tblPr>
        <w:tblW w:w="0" w:type="auto"/>
        <w:tblBorders>
          <w:top w:val="none" w:color="000000" w:sz="4"/>
          <w:left w:val="none" w:color="000000" w:sz="4"/>
          <w:bottom w:val="none" w:color="000000" w:sz="4"/>
          <w:right w:val="none" w:color="000000" w:sz="4"/>
          <w:insideH w:val="none"/>
          <w:insideV w:val="none"/>
        </w:tblBorders>
      </w:tblPr>
      <w:tblGrid>
        <w:gridCol w:w="605"/>
        <w:gridCol w:w="7701"/>
      </w:tblGrid>
      <w:tr>
        <w:tc>
          <w:tcPr>
            <w:tcW w:type="dxa" w:w="605"/>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7701"/>
            <w:tcBorders>
              <w:top w:val="single" w:color="000000" w:sz="4"/>
              <w:left w:val="none" w:color="000000" w:sz="4"/>
              <w:bottom w:val="single" w:color="000000" w:sz="4"/>
              <w:right w:val="single" w:color="000000" w:sz="4"/>
            </w:tcBorders>
            <w:vAlign w:val="top"/>
          </w:tcPr>
          <w:p>
            <w:pPr>
              <w:jc w:val="center"/>
            </w:pPr>
            <w:r>
              <w:rPr>
                <w:sz w:val="21"/>
              </w:rPr>
              <w:t>处</w:t>
            </w:r>
            <w:r>
              <w:rPr>
                <w:sz w:val="21"/>
              </w:rPr>
              <w:t>罚</w:t>
            </w:r>
            <w:r>
              <w:rPr>
                <w:sz w:val="21"/>
              </w:rPr>
              <w:t>项</w:t>
            </w:r>
            <w:r>
              <w:rPr>
                <w:sz w:val="21"/>
              </w:rPr>
              <w:t>目</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701"/>
            <w:tcBorders>
              <w:top w:val="none" w:color="000000" w:sz="4"/>
              <w:left w:val="none" w:color="000000" w:sz="4"/>
              <w:bottom w:val="single" w:color="000000" w:sz="4"/>
              <w:right w:val="single" w:color="000000" w:sz="4"/>
            </w:tcBorders>
            <w:vAlign w:val="top"/>
          </w:tcPr>
          <w:p>
            <w:r>
              <w:rPr>
                <w:sz w:val="21"/>
              </w:rPr>
              <w:t>承包人施工驻地须悬挂安全生产标牌，违者每处承担</w:t>
            </w:r>
            <w:r>
              <w:rPr>
                <w:sz w:val="21"/>
              </w:rPr>
              <w:t>1000元违约金。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701"/>
            <w:tcBorders>
              <w:top w:val="none" w:color="000000" w:sz="4"/>
              <w:left w:val="none" w:color="000000" w:sz="4"/>
              <w:bottom w:val="single" w:color="000000" w:sz="4"/>
              <w:right w:val="single" w:color="000000" w:sz="4"/>
            </w:tcBorders>
            <w:vAlign w:val="top"/>
          </w:tcPr>
          <w:p>
            <w:r>
              <w:rPr>
                <w:sz w:val="21"/>
              </w:rPr>
              <w:t>承包人电力线路架设零乱不牢固；电源线老化、绝缘损坏、接头处无包扎的；使用花线或劣质电线；不设电箱、漏电开关；施工现场未设安全警示牌，每处承担</w:t>
            </w:r>
            <w:r>
              <w:rPr>
                <w:sz w:val="21"/>
              </w:rPr>
              <w:t>1000元违约金。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701"/>
            <w:tcBorders>
              <w:top w:val="none" w:color="000000" w:sz="4"/>
              <w:left w:val="none" w:color="000000" w:sz="4"/>
              <w:bottom w:val="single" w:color="000000" w:sz="4"/>
              <w:right w:val="single" w:color="000000" w:sz="4"/>
            </w:tcBorders>
            <w:vAlign w:val="top"/>
          </w:tcPr>
          <w:p>
            <w:r>
              <w:rPr>
                <w:sz w:val="21"/>
              </w:rPr>
              <w:t>承包人出现以下情况每次承担</w:t>
            </w:r>
            <w:r>
              <w:rPr>
                <w:sz w:val="21"/>
              </w:rPr>
              <w:t>2000元违约金：</w:t>
            </w:r>
          </w:p>
          <w:p>
            <w:r>
              <w:rPr>
                <w:sz w:val="21"/>
              </w:rPr>
              <w:t>（</w:t>
            </w:r>
            <w:r>
              <w:rPr>
                <w:sz w:val="21"/>
              </w:rPr>
              <w:t>1）施工车辆和机械带病上岗，操作人员无证上岗和违反操作规程；</w:t>
            </w:r>
          </w:p>
          <w:p>
            <w:r>
              <w:rPr>
                <w:sz w:val="21"/>
              </w:rPr>
              <w:t>（</w:t>
            </w:r>
            <w:r>
              <w:rPr>
                <w:sz w:val="21"/>
              </w:rPr>
              <w:t>2）发生各种事故苗头及事故未及时不整改和隐瞒不报；</w:t>
            </w:r>
          </w:p>
          <w:p>
            <w:r>
              <w:rPr>
                <w:sz w:val="21"/>
              </w:rPr>
              <w:t>（</w:t>
            </w:r>
            <w:r>
              <w:rPr>
                <w:sz w:val="21"/>
              </w:rPr>
              <w:t>3）每次安全检查，安全管理人员无故不在位；</w:t>
            </w:r>
          </w:p>
          <w:p>
            <w:r>
              <w:rPr>
                <w:sz w:val="21"/>
              </w:rPr>
              <w:t>（</w:t>
            </w:r>
            <w:r>
              <w:rPr>
                <w:sz w:val="21"/>
              </w:rPr>
              <w:t>4）主要施工机械设备应悬挂操作规程；</w:t>
            </w:r>
          </w:p>
          <w:p>
            <w:r>
              <w:rPr>
                <w:sz w:val="21"/>
              </w:rPr>
              <w:t>（</w:t>
            </w:r>
            <w:r>
              <w:rPr>
                <w:sz w:val="21"/>
              </w:rPr>
              <w:t>5）作业人员酒后作业、机器设备带病作业的；</w:t>
            </w:r>
          </w:p>
          <w:p>
            <w:r>
              <w:rPr>
                <w:sz w:val="21"/>
              </w:rPr>
              <w:t>（</w:t>
            </w:r>
            <w:r>
              <w:rPr>
                <w:sz w:val="21"/>
              </w:rPr>
              <w:t>6）施工未进行安全交底，安全交底无记录的。</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701"/>
            <w:tcBorders>
              <w:top w:val="none" w:color="000000" w:sz="4"/>
              <w:left w:val="none" w:color="000000" w:sz="4"/>
              <w:bottom w:val="single" w:color="000000" w:sz="4"/>
              <w:right w:val="single" w:color="000000" w:sz="4"/>
            </w:tcBorders>
            <w:vAlign w:val="top"/>
          </w:tcPr>
          <w:p>
            <w:r>
              <w:rPr>
                <w:sz w:val="21"/>
              </w:rPr>
              <w:t>承包人施工现场人员出现以下情况，每人</w:t>
            </w:r>
            <w:r>
              <w:rPr>
                <w:sz w:val="21"/>
              </w:rPr>
              <w:t>/次承担500元违约金：</w:t>
            </w:r>
          </w:p>
          <w:p>
            <w:r>
              <w:rPr>
                <w:sz w:val="21"/>
              </w:rPr>
              <w:t>（</w:t>
            </w:r>
            <w:r>
              <w:rPr>
                <w:sz w:val="21"/>
              </w:rPr>
              <w:t>1）不戴安全帽；</w:t>
            </w:r>
          </w:p>
          <w:p>
            <w:r>
              <w:rPr>
                <w:sz w:val="21"/>
              </w:rPr>
              <w:t>（</w:t>
            </w:r>
            <w:r>
              <w:rPr>
                <w:sz w:val="21"/>
              </w:rPr>
              <w:t>2）赤脚或穿拖鞋；</w:t>
            </w:r>
          </w:p>
          <w:p>
            <w:r>
              <w:rPr>
                <w:sz w:val="21"/>
              </w:rPr>
              <w:t>（</w:t>
            </w:r>
            <w:r>
              <w:rPr>
                <w:sz w:val="21"/>
              </w:rPr>
              <w:t>3）安全员、电工、装载机司机、运输车司机、吊车等特殊工种未持证上岗的；</w:t>
            </w:r>
          </w:p>
          <w:p>
            <w:r>
              <w:rPr>
                <w:sz w:val="21"/>
              </w:rPr>
              <w:t>（</w:t>
            </w:r>
            <w:r>
              <w:rPr>
                <w:sz w:val="21"/>
              </w:rPr>
              <w:t>4）非施工人员进入施工现场危险地带的。</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5</w:t>
            </w:r>
          </w:p>
        </w:tc>
        <w:tc>
          <w:tcPr>
            <w:tcW w:type="dxa" w:w="7701"/>
            <w:tcBorders>
              <w:top w:val="none" w:color="000000" w:sz="4"/>
              <w:left w:val="none" w:color="000000" w:sz="4"/>
              <w:bottom w:val="single" w:color="000000" w:sz="4"/>
              <w:right w:val="single" w:color="000000" w:sz="4"/>
            </w:tcBorders>
            <w:vAlign w:val="top"/>
          </w:tcPr>
          <w:p>
            <w:r>
              <w:rPr>
                <w:sz w:val="21"/>
              </w:rPr>
              <w:t>承包人驻地建设应包括防护、围墙、临时便道和安全、卫生、防火设施，违者每项承担</w:t>
            </w:r>
            <w:r>
              <w:rPr>
                <w:sz w:val="21"/>
              </w:rPr>
              <w:t>5000元违约金。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6</w:t>
            </w:r>
          </w:p>
        </w:tc>
        <w:tc>
          <w:tcPr>
            <w:tcW w:type="dxa" w:w="7701"/>
            <w:tcBorders>
              <w:top w:val="none" w:color="000000" w:sz="4"/>
              <w:left w:val="none" w:color="000000" w:sz="4"/>
              <w:bottom w:val="single" w:color="000000" w:sz="4"/>
              <w:right w:val="single" w:color="000000" w:sz="4"/>
            </w:tcBorders>
            <w:vAlign w:val="top"/>
          </w:tcPr>
          <w:p>
            <w:r>
              <w:rPr>
                <w:sz w:val="21"/>
              </w:rPr>
              <w:t>承包人项目经理部应按发包人统一要求设置组织机构、安全生产等宣传牌，违者每项承担</w:t>
            </w:r>
            <w:r>
              <w:rPr>
                <w:sz w:val="21"/>
              </w:rPr>
              <w:t>5000元违约金。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7</w:t>
            </w:r>
          </w:p>
        </w:tc>
        <w:tc>
          <w:tcPr>
            <w:tcW w:type="dxa" w:w="7701"/>
            <w:tcBorders>
              <w:top w:val="none" w:color="000000" w:sz="4"/>
              <w:left w:val="none" w:color="000000" w:sz="4"/>
              <w:bottom w:val="single" w:color="000000" w:sz="4"/>
              <w:right w:val="single" w:color="000000" w:sz="4"/>
            </w:tcBorders>
            <w:vAlign w:val="top"/>
          </w:tcPr>
          <w:p>
            <w:r>
              <w:rPr>
                <w:sz w:val="21"/>
              </w:rPr>
              <w:t>承包人单项工程的施工现场未按要求设立标示牌的，关键施工点无安全员的，每次承担</w:t>
            </w:r>
            <w:r>
              <w:rPr>
                <w:sz w:val="21"/>
              </w:rPr>
              <w:t>500元违约金。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8</w:t>
            </w:r>
          </w:p>
        </w:tc>
        <w:tc>
          <w:tcPr>
            <w:tcW w:type="dxa" w:w="7701"/>
            <w:tcBorders>
              <w:top w:val="none" w:color="000000" w:sz="4"/>
              <w:left w:val="none" w:color="000000" w:sz="4"/>
              <w:bottom w:val="single" w:color="000000" w:sz="4"/>
              <w:right w:val="single" w:color="000000" w:sz="4"/>
            </w:tcBorders>
            <w:vAlign w:val="top"/>
          </w:tcPr>
          <w:p>
            <w:r>
              <w:rPr>
                <w:sz w:val="21"/>
              </w:rPr>
              <w:t>施工现场管理人员不佩带工作证，每人</w:t>
            </w:r>
            <w:r>
              <w:rPr>
                <w:sz w:val="21"/>
              </w:rPr>
              <w:t>/次承担200元违约金。</w:t>
            </w:r>
          </w:p>
        </w:tc>
      </w:tr>
      <w:tr>
        <w:tc>
          <w:tcPr>
            <w:tcW w:type="dxa" w:w="605"/>
            <w:tcBorders>
              <w:top w:val="none" w:color="000000" w:sz="4"/>
              <w:left w:val="single" w:color="000000" w:sz="4"/>
              <w:bottom w:val="single" w:color="000000" w:sz="4"/>
              <w:right w:val="single" w:color="000000" w:sz="4"/>
            </w:tcBorders>
            <w:vAlign w:val="top"/>
          </w:tcPr>
          <w:p>
            <w:pPr>
              <w:jc w:val="center"/>
            </w:pPr>
            <w:r>
              <w:rPr>
                <w:sz w:val="21"/>
              </w:rPr>
              <w:t>9</w:t>
            </w:r>
          </w:p>
        </w:tc>
        <w:tc>
          <w:tcPr>
            <w:tcW w:type="dxa" w:w="7701"/>
            <w:tcBorders>
              <w:top w:val="none" w:color="000000" w:sz="4"/>
              <w:left w:val="none" w:color="000000" w:sz="4"/>
              <w:bottom w:val="single" w:color="000000" w:sz="4"/>
              <w:right w:val="single" w:color="000000" w:sz="4"/>
            </w:tcBorders>
            <w:vAlign w:val="top"/>
          </w:tcPr>
          <w:p>
            <w:r>
              <w:rPr>
                <w:sz w:val="21"/>
              </w:rPr>
              <w:t>承包人对发包人或监理工程师提出的安全整改意见不及时整改的，每逾期一天，承担</w:t>
            </w:r>
            <w:r>
              <w:rPr>
                <w:sz w:val="21"/>
              </w:rPr>
              <w:t>1000元违约金。</w:t>
            </w:r>
          </w:p>
        </w:tc>
      </w:tr>
    </w:tbl>
    <w:p/>
    <w:p>
      <w:pPr>
        <w:ind w:firstLine="562"/>
        <w:jc w:val="center"/>
      </w:pPr>
      <w:r>
        <w:rPr>
          <w:b/>
          <w:sz w:val="28"/>
        </w:rPr>
        <w:t>承包人违约金一览表</w:t>
      </w:r>
    </w:p>
    <w:tbl>
      <w:tblPr>
        <w:tblW w:w="0" w:type="auto"/>
        <w:tblBorders>
          <w:top w:val="none" w:color="000000" w:sz="4"/>
          <w:left w:val="none" w:color="000000" w:sz="4"/>
          <w:bottom w:val="none" w:color="000000" w:sz="4"/>
          <w:right w:val="none" w:color="000000" w:sz="4"/>
          <w:insideH w:val="none"/>
          <w:insideV w:val="none"/>
        </w:tblBorders>
      </w:tblPr>
      <w:tblGrid>
        <w:gridCol w:w="606"/>
        <w:gridCol w:w="4187"/>
        <w:gridCol w:w="2154"/>
        <w:gridCol w:w="1360"/>
      </w:tblGrid>
      <w:tr>
        <w:tc>
          <w:tcPr>
            <w:tcW w:type="dxa" w:w="60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4187"/>
            <w:tcBorders>
              <w:top w:val="single" w:color="000000" w:sz="4"/>
              <w:left w:val="single" w:color="000000" w:sz="4"/>
              <w:bottom w:val="single" w:color="000000" w:sz="4"/>
              <w:right w:val="single" w:color="000000" w:sz="4"/>
            </w:tcBorders>
            <w:vAlign w:val="top"/>
          </w:tcPr>
          <w:p>
            <w:pPr>
              <w:jc w:val="center"/>
            </w:pPr>
            <w:r>
              <w:rPr>
                <w:sz w:val="21"/>
              </w:rPr>
              <w:t>违约内容</w:t>
            </w:r>
          </w:p>
        </w:tc>
        <w:tc>
          <w:tcPr>
            <w:tcW w:type="dxa" w:w="2154"/>
            <w:tcBorders>
              <w:top w:val="single" w:color="000000" w:sz="4"/>
              <w:left w:val="single" w:color="000000" w:sz="4"/>
              <w:bottom w:val="single" w:color="000000" w:sz="4"/>
              <w:right w:val="single" w:color="000000" w:sz="4"/>
            </w:tcBorders>
            <w:vAlign w:val="top"/>
          </w:tcPr>
          <w:p>
            <w:pPr>
              <w:jc w:val="center"/>
            </w:pPr>
            <w:r>
              <w:rPr>
                <w:sz w:val="21"/>
              </w:rPr>
              <w:t>违约金标准</w:t>
            </w:r>
          </w:p>
        </w:tc>
        <w:tc>
          <w:tcPr>
            <w:tcW w:type="dxa" w:w="1360"/>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187"/>
            <w:tcBorders>
              <w:top w:val="none" w:color="000000" w:sz="4"/>
              <w:left w:val="single" w:color="000000" w:sz="4"/>
              <w:bottom w:val="single" w:color="000000" w:sz="4"/>
              <w:right w:val="single" w:color="000000" w:sz="4"/>
            </w:tcBorders>
            <w:vAlign w:val="top"/>
          </w:tcPr>
          <w:p>
            <w:r>
              <w:rPr>
                <w:sz w:val="21"/>
              </w:rPr>
              <w:t>未得到监理人批准，承包人擅自对施工图的任何部分进行修改</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187"/>
            <w:tcBorders>
              <w:top w:val="none" w:color="000000" w:sz="4"/>
              <w:left w:val="single" w:color="000000" w:sz="4"/>
              <w:bottom w:val="single" w:color="000000" w:sz="4"/>
              <w:right w:val="single" w:color="000000" w:sz="4"/>
            </w:tcBorders>
            <w:vAlign w:val="top"/>
          </w:tcPr>
          <w:p>
            <w:r>
              <w:rPr>
                <w:sz w:val="21"/>
              </w:rPr>
              <w:t>违规分包或转包</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20万元/次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187"/>
            <w:tcBorders>
              <w:top w:val="none" w:color="000000" w:sz="4"/>
              <w:left w:val="single" w:color="000000" w:sz="4"/>
              <w:bottom w:val="single" w:color="000000" w:sz="4"/>
              <w:right w:val="single" w:color="000000" w:sz="4"/>
            </w:tcBorders>
            <w:vAlign w:val="top"/>
          </w:tcPr>
          <w:p>
            <w:r>
              <w:rPr>
                <w:sz w:val="21"/>
              </w:rPr>
              <w:t>承包人在接到监理人要求人员进场的通知</w:t>
            </w:r>
            <w:r>
              <w:rPr>
                <w:sz w:val="21"/>
              </w:rPr>
              <w:t>3天后仍未安排相关人员进场，从第4天算起扣除承包人的违约金</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项目经理、项目技术负责人</w:t>
            </w:r>
            <w:r>
              <w:rPr>
                <w:sz w:val="21"/>
              </w:rPr>
              <w:t>2万元/人日；其他主要技术人员（包括专职安全员、施工员、质检员、材料员、资料员等）1万元/人日</w:t>
            </w:r>
          </w:p>
        </w:tc>
        <w:tc>
          <w:tcPr>
            <w:tcW w:type="dxa" w:w="1360"/>
            <w:tcBorders>
              <w:top w:val="none" w:color="000000" w:sz="4"/>
              <w:left w:val="single" w:color="000000" w:sz="4"/>
              <w:bottom w:val="single" w:color="000000" w:sz="4"/>
              <w:right w:val="single" w:color="000000" w:sz="4"/>
            </w:tcBorders>
            <w:vAlign w:val="top"/>
          </w:tcPr>
          <w:p>
            <w:pPr>
              <w:jc w:val="center"/>
            </w:pPr>
            <w:r>
              <w:rPr>
                <w:sz w:val="21"/>
              </w:rPr>
              <w:t>如果承包人接到通知后</w:t>
            </w:r>
            <w:r>
              <w:rPr>
                <w:sz w:val="21"/>
              </w:rPr>
              <w:t>15天未安排相关人员进场，将要求其更换人选，同时执行人员更换违约条款</w:t>
            </w: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187"/>
            <w:tcBorders>
              <w:top w:val="none" w:color="000000" w:sz="4"/>
              <w:left w:val="single" w:color="000000" w:sz="4"/>
              <w:bottom w:val="single" w:color="000000" w:sz="4"/>
              <w:right w:val="single" w:color="000000" w:sz="4"/>
            </w:tcBorders>
            <w:vAlign w:val="top"/>
          </w:tcPr>
          <w:p>
            <w:r>
              <w:rPr>
                <w:sz w:val="21"/>
              </w:rPr>
              <w:t>承包人的档案资料整理负责人在本项目连续工作不足</w:t>
            </w:r>
            <w:r>
              <w:rPr>
                <w:sz w:val="21"/>
              </w:rPr>
              <w:t>116天</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1万元/人次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187"/>
            <w:tcBorders>
              <w:top w:val="none" w:color="000000" w:sz="4"/>
              <w:left w:val="single" w:color="000000" w:sz="4"/>
              <w:bottom w:val="single" w:color="000000" w:sz="4"/>
              <w:right w:val="single" w:color="000000" w:sz="4"/>
            </w:tcBorders>
            <w:vAlign w:val="top"/>
          </w:tcPr>
          <w:p>
            <w:r>
              <w:rPr>
                <w:sz w:val="21"/>
              </w:rPr>
              <w:t>项目经理、总工程师驻守现场不足</w:t>
            </w:r>
            <w:r>
              <w:rPr>
                <w:sz w:val="21"/>
              </w:rPr>
              <w:t>116天，处以不足天数的罚款</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5000元/天</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187"/>
            <w:tcBorders>
              <w:top w:val="none" w:color="000000" w:sz="4"/>
              <w:left w:val="single" w:color="000000" w:sz="4"/>
              <w:bottom w:val="single" w:color="000000" w:sz="4"/>
              <w:right w:val="single" w:color="000000" w:sz="4"/>
            </w:tcBorders>
            <w:vAlign w:val="top"/>
          </w:tcPr>
          <w:p>
            <w:r>
              <w:rPr>
                <w:sz w:val="21"/>
              </w:rPr>
              <w:t>专职安全生产管理人员没有按每</w:t>
            </w:r>
            <w:r>
              <w:rPr>
                <w:sz w:val="21"/>
              </w:rPr>
              <w:t>5000万施工合同额配备一名（不足5000万至少配备一名）</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5万元/人次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187"/>
            <w:tcBorders>
              <w:top w:val="none" w:color="000000" w:sz="4"/>
              <w:left w:val="single" w:color="000000" w:sz="4"/>
              <w:bottom w:val="single" w:color="000000" w:sz="4"/>
              <w:right w:val="single" w:color="000000" w:sz="4"/>
            </w:tcBorders>
            <w:vAlign w:val="top"/>
          </w:tcPr>
          <w:p>
            <w:r>
              <w:rPr>
                <w:sz w:val="21"/>
              </w:rPr>
              <w:t>项目经理或总工程师无故缺席发包人指定的各种会议，包括监理人主持的重要会议（如工地例会等）</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187"/>
            <w:tcBorders>
              <w:top w:val="none" w:color="000000" w:sz="4"/>
              <w:left w:val="single" w:color="000000" w:sz="4"/>
              <w:bottom w:val="single" w:color="000000" w:sz="4"/>
              <w:right w:val="single" w:color="000000" w:sz="4"/>
            </w:tcBorders>
            <w:vAlign w:val="top"/>
          </w:tcPr>
          <w:p>
            <w:r>
              <w:rPr>
                <w:sz w:val="21"/>
              </w:rPr>
              <w:t>不签订劳动合同、非法使用农民工的，或者拖延和克扣农民工工资的，由此造成劳务人员上访或劳动纠纷的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10万元/次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4187"/>
            <w:tcBorders>
              <w:top w:val="none" w:color="000000" w:sz="4"/>
              <w:left w:val="single" w:color="000000" w:sz="4"/>
              <w:bottom w:val="single" w:color="000000" w:sz="4"/>
              <w:right w:val="single" w:color="000000" w:sz="4"/>
            </w:tcBorders>
            <w:vAlign w:val="top"/>
          </w:tcPr>
          <w:p>
            <w:r>
              <w:rPr>
                <w:sz w:val="21"/>
              </w:rPr>
              <w:t>分项工程的施工员没在现场管理的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4187"/>
            <w:tcBorders>
              <w:top w:val="none" w:color="000000" w:sz="4"/>
              <w:left w:val="single" w:color="000000" w:sz="4"/>
              <w:bottom w:val="single" w:color="000000" w:sz="4"/>
              <w:right w:val="single" w:color="000000" w:sz="4"/>
            </w:tcBorders>
            <w:vAlign w:val="top"/>
          </w:tcPr>
          <w:p>
            <w:r>
              <w:rPr>
                <w:sz w:val="21"/>
              </w:rPr>
              <w:t>重要工序没有施工员在现场管理的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2000元/次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4187"/>
            <w:tcBorders>
              <w:top w:val="none" w:color="000000" w:sz="4"/>
              <w:left w:val="single" w:color="000000" w:sz="4"/>
              <w:bottom w:val="single" w:color="000000" w:sz="4"/>
              <w:right w:val="single" w:color="000000" w:sz="4"/>
            </w:tcBorders>
            <w:vAlign w:val="top"/>
          </w:tcPr>
          <w:p>
            <w:r>
              <w:rPr>
                <w:sz w:val="21"/>
              </w:rPr>
              <w:t>超过</w:t>
            </w:r>
            <w:r>
              <w:rPr>
                <w:sz w:val="21"/>
              </w:rPr>
              <w:t>24小时没有施工员在场而继续施工的</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5000元/次</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4187"/>
            <w:tcBorders>
              <w:top w:val="none" w:color="000000" w:sz="4"/>
              <w:left w:val="single" w:color="000000" w:sz="4"/>
              <w:bottom w:val="single" w:color="000000" w:sz="4"/>
              <w:right w:val="single" w:color="000000" w:sz="4"/>
            </w:tcBorders>
            <w:vAlign w:val="top"/>
          </w:tcPr>
          <w:p>
            <w:r>
              <w:rPr>
                <w:sz w:val="21"/>
              </w:rPr>
              <w:t>未经监理人同意，承包人将专用于本工程的材料、工程设备、施工设备和临时设施工场地或挪作他用</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4187"/>
            <w:tcBorders>
              <w:top w:val="none" w:color="000000" w:sz="4"/>
              <w:left w:val="single" w:color="000000" w:sz="4"/>
              <w:bottom w:val="single" w:color="000000" w:sz="4"/>
              <w:right w:val="single" w:color="000000" w:sz="4"/>
            </w:tcBorders>
            <w:vAlign w:val="top"/>
          </w:tcPr>
          <w:p>
            <w:r>
              <w:rPr>
                <w:sz w:val="21"/>
              </w:rPr>
              <w:t>按施工进度计划须到位而未到位的主要设备，或擅自改变主要设备</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4187"/>
            <w:tcBorders>
              <w:top w:val="none" w:color="000000" w:sz="4"/>
              <w:left w:val="single" w:color="000000" w:sz="4"/>
              <w:bottom w:val="single" w:color="000000" w:sz="4"/>
              <w:right w:val="single" w:color="000000" w:sz="4"/>
            </w:tcBorders>
            <w:vAlign w:val="top"/>
          </w:tcPr>
          <w:p>
            <w:r>
              <w:rPr>
                <w:sz w:val="21"/>
              </w:rPr>
              <w:t>承包人未按监理人要求增加或更换施工设备</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1万元/台，同时处以1000元/天的罚款直至承包人纠正为止</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4187"/>
            <w:tcBorders>
              <w:top w:val="none" w:color="000000" w:sz="4"/>
              <w:left w:val="single" w:color="000000" w:sz="4"/>
              <w:bottom w:val="single" w:color="000000" w:sz="4"/>
              <w:right w:val="single" w:color="000000" w:sz="4"/>
            </w:tcBorders>
            <w:vAlign w:val="top"/>
          </w:tcPr>
          <w:p>
            <w:r>
              <w:rPr>
                <w:sz w:val="21"/>
              </w:rPr>
              <w:t>承包人未按期开工</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参照工期延误的标准扣除违约金</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4187"/>
            <w:tcBorders>
              <w:top w:val="none" w:color="000000" w:sz="4"/>
              <w:left w:val="single" w:color="000000" w:sz="4"/>
              <w:bottom w:val="single" w:color="000000" w:sz="4"/>
              <w:right w:val="single" w:color="000000" w:sz="4"/>
            </w:tcBorders>
            <w:vAlign w:val="top"/>
          </w:tcPr>
          <w:p>
            <w:r>
              <w:rPr>
                <w:sz w:val="21"/>
              </w:rPr>
              <w:t>承包人的工期延误</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按照项目专用条款规定的标准扣除</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4187"/>
            <w:tcBorders>
              <w:top w:val="none" w:color="000000" w:sz="4"/>
              <w:left w:val="single" w:color="000000" w:sz="4"/>
              <w:bottom w:val="single" w:color="000000" w:sz="4"/>
              <w:right w:val="single" w:color="000000" w:sz="4"/>
            </w:tcBorders>
            <w:vAlign w:val="top"/>
          </w:tcPr>
          <w:p>
            <w:r>
              <w:rPr>
                <w:sz w:val="21"/>
              </w:rPr>
              <w:t>承包人未设立缺陷责任期内的留守项目</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按照项目专用条款规定的标准扣除</w:t>
            </w:r>
          </w:p>
        </w:tc>
        <w:tc>
          <w:tcPr>
            <w:tcW w:type="dxa" w:w="1360"/>
            <w:tcBorders>
              <w:top w:val="none" w:color="000000" w:sz="4"/>
              <w:left w:val="single" w:color="000000" w:sz="4"/>
              <w:bottom w:val="single" w:color="000000" w:sz="4"/>
              <w:right w:val="single" w:color="000000" w:sz="4"/>
            </w:tcBorders>
            <w:vAlign w:val="top"/>
          </w:tcPr>
          <w:p/>
        </w:tc>
      </w:tr>
      <w:tr>
        <w:tc>
          <w:tcPr>
            <w:tcW w:type="dxa" w:w="606"/>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4187"/>
            <w:tcBorders>
              <w:top w:val="none" w:color="000000" w:sz="4"/>
              <w:left w:val="single" w:color="000000" w:sz="4"/>
              <w:bottom w:val="single" w:color="000000" w:sz="4"/>
              <w:right w:val="single" w:color="000000" w:sz="4"/>
            </w:tcBorders>
            <w:vAlign w:val="top"/>
          </w:tcPr>
          <w:p>
            <w:r>
              <w:rPr>
                <w:sz w:val="21"/>
              </w:rPr>
              <w:t>承包人未履行监理人的指令对缺陷工程进行修补、修复或重建，发包人可自行修复或委托其他人修复</w:t>
            </w:r>
          </w:p>
        </w:tc>
        <w:tc>
          <w:tcPr>
            <w:tcW w:type="dxa" w:w="2154"/>
            <w:tcBorders>
              <w:top w:val="none" w:color="000000" w:sz="4"/>
              <w:left w:val="single" w:color="000000" w:sz="4"/>
              <w:bottom w:val="single" w:color="000000" w:sz="4"/>
              <w:right w:val="single" w:color="000000" w:sz="4"/>
            </w:tcBorders>
            <w:vAlign w:val="top"/>
          </w:tcPr>
          <w:p>
            <w:pPr>
              <w:jc w:val="center"/>
            </w:pPr>
            <w:r>
              <w:rPr>
                <w:sz w:val="21"/>
              </w:rPr>
              <w:t>应由承包人承担修复和查验的费用，并按该项修复和查验费用的</w:t>
            </w:r>
            <w:r>
              <w:rPr>
                <w:sz w:val="21"/>
              </w:rPr>
              <w:t>10%扣除承包人违约金</w:t>
            </w:r>
          </w:p>
        </w:tc>
        <w:tc>
          <w:tcPr>
            <w:tcW w:type="dxa" w:w="1360"/>
            <w:tcBorders>
              <w:top w:val="none" w:color="000000" w:sz="4"/>
              <w:left w:val="single" w:color="000000" w:sz="4"/>
              <w:bottom w:val="single" w:color="000000" w:sz="4"/>
              <w:right w:val="single" w:color="000000" w:sz="4"/>
            </w:tcBorders>
            <w:vAlign w:val="top"/>
          </w:tcPr>
          <w:p/>
        </w:tc>
      </w:tr>
    </w:tbl>
    <w:p/>
    <w:p>
      <w:pPr>
        <w:ind w:firstLine="562"/>
        <w:jc w:val="center"/>
      </w:pPr>
      <w:r>
        <w:rPr>
          <w:b/>
          <w:sz w:val="28"/>
        </w:rPr>
        <w:t>专用合同条款附表（二）</w:t>
      </w:r>
    </w:p>
    <w:p>
      <w:pPr>
        <w:ind w:firstLine="562"/>
        <w:jc w:val="center"/>
      </w:pPr>
      <w:r>
        <w:rPr>
          <w:b/>
          <w:sz w:val="28"/>
        </w:rPr>
        <w:t>工程质量、安全及文明施工处罚项目一览表</w:t>
      </w:r>
    </w:p>
    <w:tbl>
      <w:tblPr>
        <w:tblW w:w="0" w:type="auto"/>
        <w:tblBorders>
          <w:top w:val="none" w:color="000000" w:sz="4"/>
          <w:left w:val="none" w:color="000000" w:sz="4"/>
          <w:bottom w:val="none" w:color="000000" w:sz="4"/>
          <w:right w:val="none" w:color="000000" w:sz="4"/>
          <w:insideH w:val="none"/>
          <w:insideV w:val="none"/>
        </w:tblBorders>
      </w:tblPr>
      <w:tblGrid>
        <w:gridCol w:w="806"/>
        <w:gridCol w:w="699"/>
        <w:gridCol w:w="6801"/>
      </w:tblGrid>
      <w:tr>
        <w:tc>
          <w:tcPr>
            <w:tcW w:type="dxa" w:w="806"/>
            <w:tcBorders>
              <w:top w:val="single" w:color="000000" w:sz="4"/>
              <w:left w:val="single" w:color="000000" w:sz="4"/>
              <w:bottom w:val="single" w:color="000000" w:sz="4"/>
              <w:right w:val="single" w:color="000000" w:sz="4"/>
            </w:tcBorders>
            <w:vAlign w:val="top"/>
          </w:tcPr>
          <w:p>
            <w:pPr>
              <w:jc w:val="center"/>
            </w:pPr>
            <w:r>
              <w:rPr>
                <w:sz w:val="21"/>
              </w:rPr>
              <w:t>类别</w:t>
            </w:r>
          </w:p>
        </w:tc>
        <w:tc>
          <w:tcPr>
            <w:tcW w:type="dxa" w:w="69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6801"/>
            <w:tcBorders>
              <w:top w:val="single" w:color="000000" w:sz="4"/>
              <w:left w:val="single" w:color="000000" w:sz="4"/>
              <w:bottom w:val="single" w:color="000000" w:sz="4"/>
              <w:right w:val="single" w:color="000000" w:sz="4"/>
            </w:tcBorders>
            <w:vAlign w:val="top"/>
          </w:tcPr>
          <w:p>
            <w:pPr>
              <w:jc w:val="center"/>
            </w:pPr>
            <w:r>
              <w:rPr>
                <w:sz w:val="21"/>
              </w:rPr>
              <w:t>处罚项目</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基础及砌体工程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填土没有路拱（要求</w:t>
            </w:r>
            <w:r>
              <w:rPr>
                <w:sz w:val="21"/>
              </w:rPr>
              <w:t>2%-4%），排水不畅的；基础施工未采取临时防护排水措施的，每处罚款2000元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基础平整度不符合规范要求的，每处罚款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填土未经平地机整平就进行压实施工的，每处罚款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填土松铺厚度超过</w:t>
            </w:r>
            <w:r>
              <w:rPr>
                <w:sz w:val="21"/>
              </w:rPr>
              <w:t>30cm或压实厚度超过25cm的，每处罚款5000元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确保填方边坡碾压密实，边坡坡面要夯实，路基宽度在设计基础上每边超填不小于</w:t>
            </w:r>
            <w:r>
              <w:rPr>
                <w:sz w:val="21"/>
              </w:rPr>
              <w:t>50cm，等植草前刷坡。违者每处罚款2000元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填土压实度达不到设计要求的，每检测段罚款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路堤填石要求逐层水平填筑石块，摆放平整，码砌边部，空隙用石渣石屑嵌压稳定，石块尺寸符合规范要求，违者每处罚款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粉喷桩应严格控制喷粉时间、停粉时间、水泥喷入量，不得中断喷粉，确保喷粉桩长度，桩身上部范围必须进行二次搅拌，违者每次罚款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软基换填处理未将软土清除干净就进行回填施工的，每处罚款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软基处理未按要求进行沉降和稳定性观测的，每处罚款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软基路段施工前调查软土分布范围、软土深度，进行土工试验，发现与设计不符的，应通知监理人，违者每次罚款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801"/>
            <w:tcBorders>
              <w:top w:val="none" w:color="000000" w:sz="4"/>
              <w:left w:val="single" w:color="000000" w:sz="4"/>
              <w:bottom w:val="single" w:color="000000" w:sz="4"/>
              <w:right w:val="single" w:color="000000" w:sz="4"/>
            </w:tcBorders>
            <w:vAlign w:val="top"/>
          </w:tcPr>
          <w:p>
            <w:r>
              <w:rPr>
                <w:sz w:val="21"/>
              </w:rPr>
              <w:t>袋装砂井施工中，砂袋未垂吊、灌沙不饱满的，每根罚款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801"/>
            <w:tcBorders>
              <w:top w:val="none" w:color="000000" w:sz="4"/>
              <w:left w:val="single" w:color="000000" w:sz="4"/>
              <w:bottom w:val="single" w:color="000000" w:sz="4"/>
              <w:right w:val="single" w:color="000000" w:sz="4"/>
            </w:tcBorders>
            <w:vAlign w:val="top"/>
          </w:tcPr>
          <w:p>
            <w:r>
              <w:rPr>
                <w:sz w:val="21"/>
              </w:rPr>
              <w:t>袋装砂井、砂袋织物和塑料排水板的材料质量必须符合设计要求，违者每处罚款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801"/>
            <w:tcBorders>
              <w:top w:val="none" w:color="000000" w:sz="4"/>
              <w:left w:val="single" w:color="000000" w:sz="4"/>
              <w:bottom w:val="single" w:color="000000" w:sz="4"/>
              <w:right w:val="single" w:color="000000" w:sz="4"/>
            </w:tcBorders>
            <w:vAlign w:val="top"/>
          </w:tcPr>
          <w:p>
            <w:r>
              <w:rPr>
                <w:sz w:val="21"/>
              </w:rPr>
              <w:t>土工格栅、土工布等土工材料质量不符合设计要求，搭接宽度、搭接方式不符合有关要求的，每处罚款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801"/>
            <w:tcBorders>
              <w:top w:val="none" w:color="000000" w:sz="4"/>
              <w:left w:val="single" w:color="000000" w:sz="4"/>
              <w:bottom w:val="single" w:color="000000" w:sz="4"/>
              <w:right w:val="single" w:color="000000" w:sz="4"/>
            </w:tcBorders>
            <w:vAlign w:val="top"/>
          </w:tcPr>
          <w:p>
            <w:r>
              <w:rPr>
                <w:sz w:val="21"/>
              </w:rPr>
              <w:t>结构物台背回填施工应符合以下要求，违者每次或每处罚款</w:t>
            </w:r>
            <w:r>
              <w:rPr>
                <w:sz w:val="21"/>
              </w:rPr>
              <w:t>2000元：</w:t>
            </w:r>
          </w:p>
          <w:p>
            <w:r>
              <w:rPr>
                <w:sz w:val="21"/>
              </w:rPr>
              <w:t>1、除肋式及桩柱式外，回填必须在上部结构安装完毕，结构物验收合格，且砼强度达到设计的85%后方可进行；</w:t>
            </w:r>
          </w:p>
          <w:p>
            <w:r>
              <w:rPr>
                <w:sz w:val="21"/>
              </w:rPr>
              <w:t>2、回填必须在构造物两端对称填筑压实，以免产生变形、破坏，每层松铺厚度不大于20cm；</w:t>
            </w:r>
          </w:p>
          <w:p>
            <w:r>
              <w:rPr>
                <w:sz w:val="21"/>
              </w:rPr>
              <w:t>3、回填界面路基填筑时必须超填50cm以上，超填部分回填施工前清除，保证界面密实；</w:t>
            </w:r>
          </w:p>
          <w:p>
            <w:r>
              <w:rPr>
                <w:sz w:val="21"/>
              </w:rPr>
              <w:t>4、回填砂施工采用水密法，配合插入式振捣捧小型夯实设备，小型压路机进行，必须达到设计压实度；</w:t>
            </w:r>
          </w:p>
          <w:p>
            <w:r>
              <w:rPr>
                <w:sz w:val="21"/>
              </w:rPr>
              <w:t>5、台背填料及回填断面应符合设计和规范要求。</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801"/>
            <w:tcBorders>
              <w:top w:val="none" w:color="000000" w:sz="4"/>
              <w:left w:val="single" w:color="000000" w:sz="4"/>
              <w:bottom w:val="single" w:color="000000" w:sz="4"/>
              <w:right w:val="single" w:color="000000" w:sz="4"/>
            </w:tcBorders>
            <w:vAlign w:val="top"/>
          </w:tcPr>
          <w:p>
            <w:r>
              <w:rPr>
                <w:sz w:val="21"/>
              </w:rPr>
              <w:t>砌体工程不满足下列规定者，每项罚款</w:t>
            </w:r>
            <w:r>
              <w:rPr>
                <w:sz w:val="21"/>
              </w:rPr>
              <w:t>2000元，并作返工处理：</w:t>
            </w:r>
          </w:p>
          <w:p>
            <w:r>
              <w:rPr>
                <w:sz w:val="21"/>
              </w:rPr>
              <w:t>（</w:t>
            </w:r>
            <w:r>
              <w:rPr>
                <w:sz w:val="21"/>
              </w:rPr>
              <w:t>1）不得采用风化石，表面石料粒径需≥30cm；</w:t>
            </w:r>
          </w:p>
          <w:p>
            <w:r>
              <w:rPr>
                <w:sz w:val="21"/>
              </w:rPr>
              <w:t>（</w:t>
            </w:r>
            <w:r>
              <w:rPr>
                <w:sz w:val="21"/>
              </w:rPr>
              <w:t>2）构造物表面平顺，无凹凸扭曲现象，砂浆抹边的棱角线、平直度：2m拉线（直尺）检查≤10mm；</w:t>
            </w:r>
          </w:p>
          <w:p>
            <w:r>
              <w:rPr>
                <w:sz w:val="21"/>
              </w:rPr>
              <w:t>（</w:t>
            </w:r>
            <w:r>
              <w:rPr>
                <w:sz w:val="21"/>
              </w:rPr>
              <w:t>3）上边坡护面墙砌体一律勾凹缝；</w:t>
            </w:r>
          </w:p>
          <w:p>
            <w:r>
              <w:rPr>
                <w:sz w:val="21"/>
              </w:rPr>
              <w:t>（</w:t>
            </w:r>
            <w:r>
              <w:rPr>
                <w:sz w:val="21"/>
              </w:rPr>
              <w:t>4）勾缝不得有瞎缝、丢缝、裂纹和脱落现象，缝宽统一；</w:t>
            </w:r>
          </w:p>
          <w:p>
            <w:r>
              <w:rPr>
                <w:sz w:val="21"/>
              </w:rPr>
              <w:t>（</w:t>
            </w:r>
            <w:r>
              <w:rPr>
                <w:sz w:val="21"/>
              </w:rPr>
              <w:t>5）石缝不大于40mm，砌缝内砂浆均匀饱满，不得有空洞；</w:t>
            </w:r>
          </w:p>
          <w:p>
            <w:r>
              <w:rPr>
                <w:sz w:val="21"/>
              </w:rPr>
              <w:t>（</w:t>
            </w:r>
            <w:r>
              <w:rPr>
                <w:sz w:val="21"/>
              </w:rPr>
              <w:t>6）层间错缝不大于80mm，三块石相接空隙不大于70mm；</w:t>
            </w:r>
          </w:p>
          <w:p>
            <w:r>
              <w:rPr>
                <w:sz w:val="21"/>
              </w:rPr>
              <w:t>（</w:t>
            </w:r>
            <w:r>
              <w:rPr>
                <w:sz w:val="21"/>
              </w:rPr>
              <w:t>7）砂浆抹面，平整度用2m直尺检查≤8mm，不得有裂缝、空鼓现象；</w:t>
            </w:r>
          </w:p>
          <w:p>
            <w:r>
              <w:rPr>
                <w:sz w:val="21"/>
              </w:rPr>
              <w:t>（</w:t>
            </w:r>
            <w:r>
              <w:rPr>
                <w:sz w:val="21"/>
              </w:rPr>
              <w:t>8）泄水孔排列整齐、按设计设置坡度，无堵塞现象；</w:t>
            </w:r>
          </w:p>
          <w:p>
            <w:r>
              <w:rPr>
                <w:sz w:val="21"/>
              </w:rPr>
              <w:t>（</w:t>
            </w:r>
            <w:r>
              <w:rPr>
                <w:sz w:val="21"/>
              </w:rPr>
              <w:t>9）截水沟与实际地形砌顺，要求线形顺畅，地形无变化时，不得出现弯曲。</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801"/>
            <w:tcBorders>
              <w:top w:val="none" w:color="000000" w:sz="4"/>
              <w:left w:val="single" w:color="000000" w:sz="4"/>
              <w:bottom w:val="single" w:color="000000" w:sz="4"/>
              <w:right w:val="single" w:color="000000" w:sz="4"/>
            </w:tcBorders>
            <w:vAlign w:val="top"/>
          </w:tcPr>
          <w:p>
            <w:r>
              <w:rPr>
                <w:sz w:val="21"/>
              </w:rPr>
              <w:t>浆砌工程存在下列情况之一的，罚款</w:t>
            </w:r>
            <w:r>
              <w:rPr>
                <w:sz w:val="21"/>
              </w:rPr>
              <w:t>2000元：</w:t>
            </w:r>
          </w:p>
          <w:p>
            <w:r>
              <w:rPr>
                <w:sz w:val="21"/>
              </w:rPr>
              <w:t>（</w:t>
            </w:r>
            <w:r>
              <w:rPr>
                <w:sz w:val="21"/>
              </w:rPr>
              <w:t>1）铺砌厚度不满足要求；</w:t>
            </w:r>
          </w:p>
          <w:p>
            <w:r>
              <w:rPr>
                <w:sz w:val="21"/>
              </w:rPr>
              <w:t>（</w:t>
            </w:r>
            <w:r>
              <w:rPr>
                <w:sz w:val="21"/>
              </w:rPr>
              <w:t>2）垫层厚度不满足要求的；</w:t>
            </w:r>
          </w:p>
          <w:p>
            <w:r>
              <w:rPr>
                <w:sz w:val="21"/>
              </w:rPr>
              <w:t>（</w:t>
            </w:r>
            <w:r>
              <w:rPr>
                <w:sz w:val="21"/>
              </w:rPr>
              <w:t>3）砌缝内砂浆不饱满的；</w:t>
            </w:r>
          </w:p>
          <w:p>
            <w:r>
              <w:rPr>
                <w:sz w:val="21"/>
              </w:rPr>
              <w:t>（</w:t>
            </w:r>
            <w:r>
              <w:rPr>
                <w:sz w:val="21"/>
              </w:rPr>
              <w:t>4）砂浆不采用机械拌和的；</w:t>
            </w:r>
          </w:p>
          <w:p>
            <w:r>
              <w:rPr>
                <w:sz w:val="21"/>
              </w:rPr>
              <w:t>（</w:t>
            </w:r>
            <w:r>
              <w:rPr>
                <w:sz w:val="21"/>
              </w:rPr>
              <w:t>5）砌缝没有错开的；</w:t>
            </w:r>
          </w:p>
          <w:p>
            <w:r>
              <w:rPr>
                <w:sz w:val="21"/>
              </w:rPr>
              <w:t>（</w:t>
            </w:r>
            <w:r>
              <w:rPr>
                <w:sz w:val="21"/>
              </w:rPr>
              <w:t>6）砂浆强度达不到规定要求的；</w:t>
            </w:r>
          </w:p>
          <w:p>
            <w:r>
              <w:rPr>
                <w:sz w:val="21"/>
              </w:rPr>
              <w:t>（</w:t>
            </w:r>
            <w:r>
              <w:rPr>
                <w:sz w:val="21"/>
              </w:rPr>
              <w:t>7）沟底未清理干净，有浮土、泥浆等杂物的；</w:t>
            </w:r>
          </w:p>
          <w:p>
            <w:r>
              <w:rPr>
                <w:sz w:val="21"/>
              </w:rPr>
              <w:t>（</w:t>
            </w:r>
            <w:r>
              <w:rPr>
                <w:sz w:val="21"/>
              </w:rPr>
              <w:t>8）施工后不进行养护的。</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801"/>
            <w:tcBorders>
              <w:top w:val="none" w:color="000000" w:sz="4"/>
              <w:left w:val="single" w:color="000000" w:sz="4"/>
              <w:bottom w:val="single" w:color="000000" w:sz="4"/>
              <w:right w:val="single" w:color="000000" w:sz="4"/>
            </w:tcBorders>
            <w:vAlign w:val="top"/>
          </w:tcPr>
          <w:p>
            <w:r>
              <w:rPr>
                <w:sz w:val="21"/>
              </w:rPr>
              <w:t>排水盲沟断面不符合设计要求，回填碎石含泥量超标的，土工布铺设不符合要求的，违者每处罚款</w:t>
            </w:r>
            <w:r>
              <w:rPr>
                <w:sz w:val="21"/>
              </w:rPr>
              <w:t>2000元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钢砼、桥涵工程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防撞栏出现大量麻面；线形有明显波折、错台；墙角或接缝漏浆；表面多处露筋，每十米罚款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构造物不按要求进行养生的，每处罚款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构造物施工未采取措施保证钢筋保护层厚度就浇筑砼的，每次罚款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下列情况，违者每次罚款</w:t>
            </w:r>
            <w:r>
              <w:rPr>
                <w:sz w:val="21"/>
              </w:rPr>
              <w:t>2000元：</w:t>
            </w:r>
          </w:p>
          <w:p>
            <w:r>
              <w:rPr>
                <w:sz w:val="21"/>
              </w:rPr>
              <w:t>（</w:t>
            </w:r>
            <w:r>
              <w:rPr>
                <w:sz w:val="21"/>
              </w:rPr>
              <w:t>1）伸缩缝位置必须保证满足设计要求，安装时必须按气温来确定安装宽度；</w:t>
            </w:r>
          </w:p>
          <w:p>
            <w:r>
              <w:rPr>
                <w:sz w:val="21"/>
              </w:rPr>
              <w:t>（</w:t>
            </w:r>
            <w:r>
              <w:rPr>
                <w:sz w:val="21"/>
              </w:rPr>
              <w:t>2）预留槽口底面的砼必须密实、平整；</w:t>
            </w:r>
          </w:p>
          <w:p>
            <w:r>
              <w:rPr>
                <w:sz w:val="21"/>
              </w:rPr>
              <w:t>（</w:t>
            </w:r>
            <w:r>
              <w:rPr>
                <w:sz w:val="21"/>
              </w:rPr>
              <w:t>3）在填充前必须保证干净，不得有杂物。</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张拉千斤顶没有按规范要求标定。造成拉力不符设计要求的，每次罚款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预应力筋有烧伤或划伤，必须立即撤换，违者每次罚款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预应力筋因施工不当造成断丝且无法补救时，每次罚款</w:t>
            </w:r>
            <w:r>
              <w:rPr>
                <w:sz w:val="21"/>
              </w:rPr>
              <w:t>8000元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预制梁施工必须符合设计要求，吊装位置准确，标高误差</w:t>
            </w:r>
            <w:r>
              <w:rPr>
                <w:sz w:val="21"/>
              </w:rPr>
              <w:t>±1cm，违者罚款2000元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一个经过自检的钢筋骨架中钢筋焊接长度不足及焊缝不饱满超过</w:t>
            </w:r>
            <w:r>
              <w:rPr>
                <w:sz w:val="21"/>
              </w:rPr>
              <w:t>3处的，罚款2000元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一个经过自检的钢筋骨架有</w:t>
            </w:r>
            <w:r>
              <w:rPr>
                <w:sz w:val="21"/>
              </w:rPr>
              <w:t>3处钢筋间距（包括主筋和构造筋）不符合规范要求的罚款2000元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钢筋骨架已生锈，在浇筑砼前未作去锈处理的，每次罚款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6801"/>
            <w:tcBorders>
              <w:top w:val="none" w:color="000000" w:sz="4"/>
              <w:left w:val="single" w:color="000000" w:sz="4"/>
              <w:bottom w:val="single" w:color="000000" w:sz="4"/>
              <w:right w:val="single" w:color="000000" w:sz="4"/>
            </w:tcBorders>
            <w:vAlign w:val="top"/>
          </w:tcPr>
          <w:p>
            <w:r>
              <w:rPr>
                <w:sz w:val="21"/>
              </w:rPr>
              <w:t>在钻孔桩的施工中泥浆循环系统未设沉淀池的，或沉淀池规格不符合有关要求的，每处罚款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6801"/>
            <w:tcBorders>
              <w:top w:val="none" w:color="000000" w:sz="4"/>
              <w:left w:val="single" w:color="000000" w:sz="4"/>
              <w:bottom w:val="single" w:color="000000" w:sz="4"/>
              <w:right w:val="single" w:color="000000" w:sz="4"/>
            </w:tcBorders>
            <w:vAlign w:val="top"/>
          </w:tcPr>
          <w:p>
            <w:r>
              <w:rPr>
                <w:sz w:val="21"/>
              </w:rPr>
              <w:t>桩基检测评定为</w:t>
            </w:r>
            <w:r>
              <w:rPr>
                <w:sz w:val="21"/>
              </w:rPr>
              <w:t>C类桩的，每根罚款2000元，出现不合格桩的，每根罚款5000元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6801"/>
            <w:tcBorders>
              <w:top w:val="none" w:color="000000" w:sz="4"/>
              <w:left w:val="single" w:color="000000" w:sz="4"/>
              <w:bottom w:val="single" w:color="000000" w:sz="4"/>
              <w:right w:val="single" w:color="000000" w:sz="4"/>
            </w:tcBorders>
            <w:vAlign w:val="top"/>
          </w:tcPr>
          <w:p>
            <w:r>
              <w:rPr>
                <w:sz w:val="21"/>
              </w:rPr>
              <w:t>浇注砼时，自由下落高度超过</w:t>
            </w:r>
            <w:r>
              <w:rPr>
                <w:sz w:val="21"/>
              </w:rPr>
              <w:t>2m而不用串筒的，每次罚款2000元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6801"/>
            <w:tcBorders>
              <w:top w:val="none" w:color="000000" w:sz="4"/>
              <w:left w:val="single" w:color="000000" w:sz="4"/>
              <w:bottom w:val="single" w:color="000000" w:sz="4"/>
              <w:right w:val="single" w:color="000000" w:sz="4"/>
            </w:tcBorders>
            <w:vAlign w:val="top"/>
          </w:tcPr>
          <w:p>
            <w:r>
              <w:rPr>
                <w:sz w:val="21"/>
              </w:rPr>
              <w:t>砼施工配合比不按重量比的，每次罚款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6801"/>
            <w:tcBorders>
              <w:top w:val="none" w:color="000000" w:sz="4"/>
              <w:left w:val="single" w:color="000000" w:sz="4"/>
              <w:bottom w:val="single" w:color="000000" w:sz="4"/>
              <w:right w:val="single" w:color="000000" w:sz="4"/>
            </w:tcBorders>
            <w:vAlign w:val="top"/>
          </w:tcPr>
          <w:p>
            <w:r>
              <w:rPr>
                <w:sz w:val="21"/>
              </w:rPr>
              <w:t>两梁板之间接缝不得有杂物，填充料符合设计要求，违者罚款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6801"/>
            <w:tcBorders>
              <w:top w:val="none" w:color="000000" w:sz="4"/>
              <w:left w:val="single" w:color="000000" w:sz="4"/>
              <w:bottom w:val="single" w:color="000000" w:sz="4"/>
              <w:right w:val="single" w:color="000000" w:sz="4"/>
            </w:tcBorders>
            <w:vAlign w:val="top"/>
          </w:tcPr>
          <w:p>
            <w:r>
              <w:rPr>
                <w:sz w:val="21"/>
              </w:rPr>
              <w:t>砼拌和现场的称量和配水机械装置应维持良好状态，拌和机的容量要满足要求，桥梁施工要具备应急拌和机。正在施工的现场不满足上述要求的，每次罚款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6801"/>
            <w:tcBorders>
              <w:top w:val="none" w:color="000000" w:sz="4"/>
              <w:left w:val="single" w:color="000000" w:sz="4"/>
              <w:bottom w:val="single" w:color="000000" w:sz="4"/>
              <w:right w:val="single" w:color="000000" w:sz="4"/>
            </w:tcBorders>
            <w:vAlign w:val="top"/>
          </w:tcPr>
          <w:p>
            <w:r>
              <w:rPr>
                <w:sz w:val="21"/>
              </w:rPr>
              <w:t>压浆不按配合比制浆，水灰比失控，强度达不到要求的，每次罚款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6801"/>
            <w:tcBorders>
              <w:top w:val="none" w:color="000000" w:sz="4"/>
              <w:left w:val="single" w:color="000000" w:sz="4"/>
              <w:bottom w:val="single" w:color="000000" w:sz="4"/>
              <w:right w:val="single" w:color="000000" w:sz="4"/>
            </w:tcBorders>
            <w:vAlign w:val="top"/>
          </w:tcPr>
          <w:p>
            <w:r>
              <w:rPr>
                <w:sz w:val="21"/>
              </w:rPr>
              <w:t>压浆不饱满的，每条管罚款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6801"/>
            <w:tcBorders>
              <w:top w:val="none" w:color="000000" w:sz="4"/>
              <w:left w:val="single" w:color="000000" w:sz="4"/>
              <w:bottom w:val="single" w:color="000000" w:sz="4"/>
              <w:right w:val="single" w:color="000000" w:sz="4"/>
            </w:tcBorders>
            <w:vAlign w:val="top"/>
          </w:tcPr>
          <w:p>
            <w:r>
              <w:rPr>
                <w:sz w:val="21"/>
              </w:rPr>
              <w:t>预制、现浇砼构件必须采用足够强度、大面积的钢板制模板，违者每次罚款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6801"/>
            <w:tcBorders>
              <w:top w:val="none" w:color="000000" w:sz="4"/>
              <w:left w:val="single" w:color="000000" w:sz="4"/>
              <w:bottom w:val="single" w:color="000000" w:sz="4"/>
              <w:right w:val="single" w:color="000000" w:sz="4"/>
            </w:tcBorders>
            <w:vAlign w:val="top"/>
          </w:tcPr>
          <w:p>
            <w:r>
              <w:rPr>
                <w:sz w:val="21"/>
              </w:rPr>
              <w:t>结构物外观质量不符合要求而需修补的，必须作好修补方案，经试验确实可行，并经发包人和监理人检查同意后，才能采取修整补救措施，无法进行补救的则以</w:t>
            </w:r>
            <w:r>
              <w:rPr>
                <w:sz w:val="21"/>
              </w:rPr>
              <w:t>“推倒重来”为原则。如有违返，每次罚款3000元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6801"/>
            <w:tcBorders>
              <w:top w:val="none" w:color="000000" w:sz="4"/>
              <w:left w:val="single" w:color="000000" w:sz="4"/>
              <w:bottom w:val="single" w:color="000000" w:sz="4"/>
              <w:right w:val="single" w:color="000000" w:sz="4"/>
            </w:tcBorders>
            <w:vAlign w:val="top"/>
          </w:tcPr>
          <w:p>
            <w:r>
              <w:rPr>
                <w:sz w:val="21"/>
              </w:rPr>
              <w:t>各标段第一根立柱、盖梁和第一段防撞栏必须经发包人和监理人检查外观质量合格后，方可进行第二根立柱、盖梁和第二段防撞栏的施工，违者每次罚款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6801"/>
            <w:tcBorders>
              <w:top w:val="none" w:color="000000" w:sz="4"/>
              <w:left w:val="single" w:color="000000" w:sz="4"/>
              <w:bottom w:val="single" w:color="000000" w:sz="4"/>
              <w:right w:val="single" w:color="000000" w:sz="4"/>
            </w:tcBorders>
            <w:vAlign w:val="top"/>
          </w:tcPr>
          <w:p>
            <w:r>
              <w:rPr>
                <w:sz w:val="21"/>
              </w:rPr>
              <w:t>结构标高尺寸误差超出规范允许值，每处罚款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24</w:t>
            </w:r>
          </w:p>
        </w:tc>
        <w:tc>
          <w:tcPr>
            <w:tcW w:type="dxa" w:w="6801"/>
            <w:tcBorders>
              <w:top w:val="none" w:color="000000" w:sz="4"/>
              <w:left w:val="single" w:color="000000" w:sz="4"/>
              <w:bottom w:val="single" w:color="000000" w:sz="4"/>
              <w:right w:val="single" w:color="000000" w:sz="4"/>
            </w:tcBorders>
            <w:vAlign w:val="top"/>
          </w:tcPr>
          <w:p>
            <w:r>
              <w:rPr>
                <w:sz w:val="21"/>
              </w:rPr>
              <w:t>达不到以下要求的，每处罚款</w:t>
            </w:r>
            <w:r>
              <w:rPr>
                <w:sz w:val="21"/>
              </w:rPr>
              <w:t>2000元：</w:t>
            </w:r>
          </w:p>
          <w:p>
            <w:r>
              <w:rPr>
                <w:sz w:val="21"/>
              </w:rPr>
              <w:t>（</w:t>
            </w:r>
            <w:r>
              <w:rPr>
                <w:sz w:val="21"/>
              </w:rPr>
              <w:t>1）钢模板大面平整、坚固，板面缝隙小同，错台不大于1mm；</w:t>
            </w:r>
          </w:p>
          <w:p>
            <w:r>
              <w:rPr>
                <w:sz w:val="21"/>
              </w:rPr>
              <w:t>（</w:t>
            </w:r>
            <w:r>
              <w:rPr>
                <w:sz w:val="21"/>
              </w:rPr>
              <w:t>2）钢模板大面平整、坚固，板面缝隙小同，错台不大于1mm；</w:t>
            </w:r>
          </w:p>
          <w:p>
            <w:r>
              <w:rPr>
                <w:sz w:val="21"/>
              </w:rPr>
              <w:t>（</w:t>
            </w:r>
            <w:r>
              <w:rPr>
                <w:sz w:val="21"/>
              </w:rPr>
              <w:t>3）在盖梁浇筑前，立柱应用簿膜包裹，并用胶布密封固定，防止漏浆损坏立柱外观质量；</w:t>
            </w:r>
          </w:p>
          <w:p>
            <w:r>
              <w:rPr>
                <w:sz w:val="21"/>
              </w:rPr>
              <w:t>（</w:t>
            </w:r>
            <w:r>
              <w:rPr>
                <w:sz w:val="21"/>
              </w:rPr>
              <w:t>4）祼露在砼外的结构钢筋或施工用的临时钢构件，时间需要超过一个月，必须采取防锈措施（包裹或油漆）。</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25</w:t>
            </w:r>
          </w:p>
        </w:tc>
        <w:tc>
          <w:tcPr>
            <w:tcW w:type="dxa" w:w="6801"/>
            <w:tcBorders>
              <w:top w:val="none" w:color="000000" w:sz="4"/>
              <w:left w:val="single" w:color="000000" w:sz="4"/>
              <w:bottom w:val="single" w:color="000000" w:sz="4"/>
              <w:right w:val="single" w:color="000000" w:sz="4"/>
            </w:tcBorders>
            <w:vAlign w:val="top"/>
          </w:tcPr>
          <w:p>
            <w:r>
              <w:rPr>
                <w:sz w:val="21"/>
              </w:rPr>
              <w:t>伸缩缝施工出现下列情况，违者每次或每处罚款</w:t>
            </w:r>
            <w:r>
              <w:rPr>
                <w:sz w:val="21"/>
              </w:rPr>
              <w:t>2000元：</w:t>
            </w:r>
          </w:p>
          <w:p>
            <w:r>
              <w:rPr>
                <w:sz w:val="21"/>
              </w:rPr>
              <w:t>（</w:t>
            </w:r>
            <w:r>
              <w:rPr>
                <w:sz w:val="21"/>
              </w:rPr>
              <w:t>1）伸缩缝位置必须保证满足设计要求，安装时必须按气温来确定安装宽度；</w:t>
            </w:r>
          </w:p>
          <w:p>
            <w:r>
              <w:rPr>
                <w:sz w:val="21"/>
              </w:rPr>
              <w:t>（</w:t>
            </w:r>
            <w:r>
              <w:rPr>
                <w:sz w:val="21"/>
              </w:rPr>
              <w:t>2）预留槽口底面的砼必须密实、平整；在填充前必须保证干净，不得有杂物；</w:t>
            </w:r>
          </w:p>
          <w:p>
            <w:r>
              <w:rPr>
                <w:sz w:val="21"/>
              </w:rPr>
              <w:t>（</w:t>
            </w:r>
            <w:r>
              <w:rPr>
                <w:sz w:val="21"/>
              </w:rPr>
              <w:t>3）预埋钢筋未按设计要求预埋。</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26</w:t>
            </w:r>
          </w:p>
        </w:tc>
        <w:tc>
          <w:tcPr>
            <w:tcW w:type="dxa" w:w="6801"/>
            <w:tcBorders>
              <w:top w:val="none" w:color="000000" w:sz="4"/>
              <w:left w:val="single" w:color="000000" w:sz="4"/>
              <w:bottom w:val="single" w:color="000000" w:sz="4"/>
              <w:right w:val="single" w:color="000000" w:sz="4"/>
            </w:tcBorders>
            <w:vAlign w:val="top"/>
          </w:tcPr>
          <w:p>
            <w:r>
              <w:rPr>
                <w:sz w:val="21"/>
              </w:rPr>
              <w:t>支座垫石标高误差超过</w:t>
            </w:r>
            <w:r>
              <w:rPr>
                <w:sz w:val="21"/>
              </w:rPr>
              <w:t>±5mm，表面不清洁、不平整，有脱空松动的，每处罚款2000元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水泥砼</w:t>
            </w:r>
          </w:p>
          <w:p>
            <w:pPr>
              <w:jc w:val="center"/>
            </w:pPr>
            <w:r>
              <w:rPr>
                <w:sz w:val="21"/>
              </w:rPr>
              <w:t>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基层必须碾压密实，表面干燥、清洁、无浮土，平整度符合要求，违者每处罚款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水泥砼存在下列问题时，每处罚款</w:t>
            </w:r>
            <w:r>
              <w:rPr>
                <w:sz w:val="21"/>
              </w:rPr>
              <w:t>1000元：</w:t>
            </w:r>
          </w:p>
          <w:p>
            <w:r>
              <w:rPr>
                <w:sz w:val="21"/>
              </w:rPr>
              <w:t>（</w:t>
            </w:r>
            <w:r>
              <w:rPr>
                <w:sz w:val="21"/>
              </w:rPr>
              <w:t>1）粗细骨料不符合设计要求；</w:t>
            </w:r>
          </w:p>
          <w:p>
            <w:r>
              <w:rPr>
                <w:sz w:val="21"/>
              </w:rPr>
              <w:t>（</w:t>
            </w:r>
            <w:r>
              <w:rPr>
                <w:sz w:val="21"/>
              </w:rPr>
              <w:t>2）基层和底基层压实度没有≥98%，表面坑洼，明显离析；</w:t>
            </w:r>
          </w:p>
          <w:p>
            <w:r>
              <w:rPr>
                <w:sz w:val="21"/>
              </w:rPr>
              <w:t>（</w:t>
            </w:r>
            <w:r>
              <w:rPr>
                <w:sz w:val="21"/>
              </w:rPr>
              <w:t>3）基层和底基层没有清理杂物，有浮土；</w:t>
            </w:r>
          </w:p>
          <w:p>
            <w:r>
              <w:rPr>
                <w:sz w:val="21"/>
              </w:rPr>
              <w:t>（</w:t>
            </w:r>
            <w:r>
              <w:rPr>
                <w:sz w:val="21"/>
              </w:rPr>
              <w:t>4）砼养生不及时；</w:t>
            </w:r>
          </w:p>
          <w:p>
            <w:r>
              <w:rPr>
                <w:sz w:val="21"/>
              </w:rPr>
              <w:t>（</w:t>
            </w:r>
            <w:r>
              <w:rPr>
                <w:sz w:val="21"/>
              </w:rPr>
              <w:t>5）膨胀传力杆活动端与固定端方向没有相反；</w:t>
            </w:r>
          </w:p>
          <w:p>
            <w:r>
              <w:rPr>
                <w:sz w:val="21"/>
              </w:rPr>
              <w:t>（</w:t>
            </w:r>
            <w:r>
              <w:rPr>
                <w:sz w:val="21"/>
              </w:rPr>
              <w:t>6）接缝填充料没有饱满或用料不符合设计要求。</w:t>
            </w:r>
          </w:p>
        </w:tc>
      </w:tr>
      <w:tr>
        <w:tc>
          <w:tcPr>
            <w:tcW w:type="dxa" w:w="806"/>
            <w:tcBorders>
              <w:top w:val="none" w:color="000000" w:sz="4"/>
              <w:left w:val="single" w:color="000000" w:sz="4"/>
              <w:bottom w:val="single" w:color="000000" w:sz="4"/>
              <w:right w:val="single" w:color="000000" w:sz="4"/>
            </w:tcBorders>
            <w:vAlign w:val="top"/>
          </w:tcPr>
          <w:p>
            <w:pPr>
              <w:jc w:val="center"/>
            </w:pPr>
            <w:r>
              <w:rPr>
                <w:sz w:val="21"/>
              </w:rPr>
              <w:t>绿化</w:t>
            </w:r>
          </w:p>
          <w:p>
            <w:pPr>
              <w:jc w:val="center"/>
            </w:pPr>
            <w:r>
              <w:rPr>
                <w:sz w:val="21"/>
              </w:rPr>
              <w:t>工程</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如果绿化工程质量不合格或造成质量隐患，按以下标准对承包人进行罚款：以清单单位为罚款依据，</w:t>
            </w:r>
            <w:r>
              <w:rPr>
                <w:sz w:val="21"/>
              </w:rPr>
              <w:t>1000元/丛、即1000元/株、500元/m、500元/t以及10000元/个等</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安全</w:t>
            </w:r>
          </w:p>
          <w:p>
            <w:pPr>
              <w:jc w:val="center"/>
            </w:pPr>
            <w:r>
              <w:rPr>
                <w:sz w:val="21"/>
              </w:rPr>
              <w:t>生产</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施工现场及构件预制场、钢筋加工场、搅拌站、施工驻地须悬挂安全生产标牌，违者每处罚款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基坑开挖未有效围护的，桩孔施工后未加盖的，每处罚款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电力线路架设零乱不牢固；电源线老化、绝缘损坏、接头处无包扎的；使用花线或劣质电线；不设电箱、漏电开关；施工现场未设安全警示牌，每处罚款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高空作业未设置稳固爬梯；不设围栏、安全网，每处罚款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爆破作业应按批准的爆破方案及施工安全技术规程的要求进行，并对人身、工程本身及所有财产采取保护措施，违者每次罚款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爆破器材设专人保管，严格领用手续，违者每次罚款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对于安全风险大的高空作业、梁板吊装，要求制订安全预案，违者每次罚款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吊运安装施工方案应经过监理人审批，吊车、龙门架、架桥机要经过安全生产管理部门检查合格，才能施工作业，违者每次罚款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出现以下情况每次罚款</w:t>
            </w:r>
            <w:r>
              <w:rPr>
                <w:sz w:val="21"/>
              </w:rPr>
              <w:t>2000元：</w:t>
            </w:r>
          </w:p>
          <w:p>
            <w:r>
              <w:rPr>
                <w:sz w:val="21"/>
              </w:rPr>
              <w:t>（</w:t>
            </w:r>
            <w:r>
              <w:rPr>
                <w:sz w:val="21"/>
              </w:rPr>
              <w:t>1）施工车辆和机械带病上岗，操作人员无证上岗和违反操作规程；</w:t>
            </w:r>
          </w:p>
          <w:p>
            <w:r>
              <w:rPr>
                <w:sz w:val="21"/>
              </w:rPr>
              <w:t>（</w:t>
            </w:r>
            <w:r>
              <w:rPr>
                <w:sz w:val="21"/>
              </w:rPr>
              <w:t>2）发生各种事故苗头及事故未及时不整改和隐瞒不报；</w:t>
            </w:r>
          </w:p>
          <w:p>
            <w:r>
              <w:rPr>
                <w:sz w:val="21"/>
              </w:rPr>
              <w:t>（</w:t>
            </w:r>
            <w:r>
              <w:rPr>
                <w:sz w:val="21"/>
              </w:rPr>
              <w:t>3）每月安全大检查，安全管理人员无故不在位；</w:t>
            </w:r>
          </w:p>
          <w:p>
            <w:r>
              <w:rPr>
                <w:sz w:val="21"/>
              </w:rPr>
              <w:t>（</w:t>
            </w:r>
            <w:r>
              <w:rPr>
                <w:sz w:val="21"/>
              </w:rPr>
              <w:t>4）主要施工机械设备应悬挂操作规程；</w:t>
            </w:r>
          </w:p>
          <w:p>
            <w:r>
              <w:rPr>
                <w:sz w:val="21"/>
              </w:rPr>
              <w:t>（</w:t>
            </w:r>
            <w:r>
              <w:rPr>
                <w:sz w:val="21"/>
              </w:rPr>
              <w:t>5）作业人员酒后作业、机器设备带病作业的；</w:t>
            </w:r>
          </w:p>
          <w:p>
            <w:r>
              <w:rPr>
                <w:sz w:val="21"/>
              </w:rPr>
              <w:t>（</w:t>
            </w:r>
            <w:r>
              <w:rPr>
                <w:sz w:val="21"/>
              </w:rPr>
              <w:t>6）施工未进行安全交底，安全交底无记录的。</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施工现场人员出现以下情况，每人</w:t>
            </w:r>
            <w:r>
              <w:rPr>
                <w:sz w:val="21"/>
              </w:rPr>
              <w:t>/次罚款500元：</w:t>
            </w:r>
          </w:p>
          <w:p>
            <w:r>
              <w:rPr>
                <w:sz w:val="21"/>
              </w:rPr>
              <w:t>（</w:t>
            </w:r>
            <w:r>
              <w:rPr>
                <w:sz w:val="21"/>
              </w:rPr>
              <w:t>1）不戴安全帽；</w:t>
            </w:r>
          </w:p>
          <w:p>
            <w:r>
              <w:rPr>
                <w:sz w:val="21"/>
              </w:rPr>
              <w:t>（</w:t>
            </w:r>
            <w:r>
              <w:rPr>
                <w:sz w:val="21"/>
              </w:rPr>
              <w:t>2）高空作业不系安全带；</w:t>
            </w:r>
          </w:p>
          <w:p>
            <w:r>
              <w:rPr>
                <w:sz w:val="21"/>
              </w:rPr>
              <w:t>（</w:t>
            </w:r>
            <w:r>
              <w:rPr>
                <w:sz w:val="21"/>
              </w:rPr>
              <w:t>3）水上作业不穿救生衣；</w:t>
            </w:r>
          </w:p>
          <w:p>
            <w:r>
              <w:rPr>
                <w:sz w:val="21"/>
              </w:rPr>
              <w:t>（</w:t>
            </w:r>
            <w:r>
              <w:rPr>
                <w:sz w:val="21"/>
              </w:rPr>
              <w:t>4）赤脚或穿拖鞋；</w:t>
            </w:r>
          </w:p>
          <w:p>
            <w:r>
              <w:rPr>
                <w:sz w:val="21"/>
              </w:rPr>
              <w:t>（</w:t>
            </w:r>
            <w:r>
              <w:rPr>
                <w:sz w:val="21"/>
              </w:rPr>
              <w:t>5）爆破员、安全员、电工、装载机司机、运输车司机、电焊工、砼工、吊车、架桥机等特殊工种未持证上岗的。</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文明</w:t>
            </w:r>
          </w:p>
          <w:p>
            <w:pPr>
              <w:jc w:val="center"/>
            </w:pPr>
            <w:r>
              <w:rPr>
                <w:sz w:val="21"/>
              </w:rPr>
              <w:t>施工</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承包人驻地建设应包括防护、围墙、临时便道和安全、卫生、防火设施，违者每项罚款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承包人项目经理部应按发包人统一要求设置组织机构、质量管理、安全生产等宣传牌，违者每项罚款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单项工程的施工现场未按要求设立标示牌的，施工点无安全员的，每处罚款</w:t>
            </w:r>
            <w:r>
              <w:rPr>
                <w:sz w:val="21"/>
              </w:rPr>
              <w:t>500元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施工现场管理人员不佩带工作证，每人</w:t>
            </w:r>
            <w:r>
              <w:rPr>
                <w:sz w:val="21"/>
              </w:rPr>
              <w:t>/次罚款200元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施工作业面、便道不及时洒水降尘的，每次罚款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施工过程中的泥浆及废弃物等，须在该项工程完工时即时清除干净，违者罚款</w:t>
            </w:r>
            <w:r>
              <w:rPr>
                <w:sz w:val="21"/>
              </w:rPr>
              <w:t>30000元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施工废料乱放的，每次罚款</w:t>
            </w:r>
            <w:r>
              <w:rPr>
                <w:sz w:val="21"/>
              </w:rPr>
              <w:t>3000元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施工废水、生活污水不得直接排入农田、耕地、沟渠和水库，严禁排入饮用水源，违者每次罚款</w:t>
            </w:r>
            <w:r>
              <w:rPr>
                <w:sz w:val="21"/>
              </w:rPr>
              <w:t>30000元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9</w:t>
            </w:r>
          </w:p>
        </w:tc>
        <w:tc>
          <w:tcPr>
            <w:tcW w:type="dxa" w:w="6801"/>
            <w:tcBorders>
              <w:top w:val="none" w:color="000000" w:sz="4"/>
              <w:left w:val="single" w:color="000000" w:sz="4"/>
              <w:bottom w:val="single" w:color="000000" w:sz="4"/>
              <w:right w:val="single" w:color="000000" w:sz="4"/>
            </w:tcBorders>
            <w:vAlign w:val="top"/>
          </w:tcPr>
          <w:p>
            <w:r>
              <w:rPr>
                <w:sz w:val="21"/>
              </w:rPr>
              <w:t>施工现场未采取有效措施，造成水源污染、空气污染等不良后果，引起群众抗议、投诉或有关行政主管部门处罚的，每次罚款</w:t>
            </w:r>
            <w:r>
              <w:rPr>
                <w:sz w:val="21"/>
              </w:rPr>
              <w:t>10000元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6801"/>
            <w:tcBorders>
              <w:top w:val="none" w:color="000000" w:sz="4"/>
              <w:left w:val="single" w:color="000000" w:sz="4"/>
              <w:bottom w:val="single" w:color="000000" w:sz="4"/>
              <w:right w:val="single" w:color="000000" w:sz="4"/>
            </w:tcBorders>
            <w:vAlign w:val="top"/>
          </w:tcPr>
          <w:p>
            <w:r>
              <w:rPr>
                <w:sz w:val="21"/>
              </w:rPr>
              <w:t>弃土、弃渣占农田果园、堵塞水道以及造成水土流失的，每次罚款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6801"/>
            <w:tcBorders>
              <w:top w:val="none" w:color="000000" w:sz="4"/>
              <w:left w:val="single" w:color="000000" w:sz="4"/>
              <w:bottom w:val="single" w:color="000000" w:sz="4"/>
              <w:right w:val="single" w:color="000000" w:sz="4"/>
            </w:tcBorders>
            <w:vAlign w:val="top"/>
          </w:tcPr>
          <w:p>
            <w:r>
              <w:rPr>
                <w:sz w:val="21"/>
              </w:rPr>
              <w:t>水土保持防护措施不完善，造成水土流失，污染当地农田水利的，每次罚款</w:t>
            </w:r>
            <w:r>
              <w:rPr>
                <w:sz w:val="21"/>
              </w:rPr>
              <w:t>5000元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内业</w:t>
            </w:r>
          </w:p>
          <w:p>
            <w:pPr>
              <w:jc w:val="center"/>
            </w:pPr>
            <w:r>
              <w:rPr>
                <w:sz w:val="21"/>
              </w:rPr>
              <w:t>资料</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开工前须结合工程特点进行分项、分部和单位工程划分，现场质量检查、质量验收资料按照划分进行归纳收集，违者每次罚款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内业原始资料弄虚作假的，不及时填写的，填写不完整规范的，每次罚款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内业原始资料和整理资料未按有关要示采用文件盒及时归档，每次罚款</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分部工程完成时，须将原始资料、施工记录、进度照片等资料整理归纳，装订成册，违者每次罚款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试验设备不齐全，未建立试验台账，每次罚款</w:t>
            </w:r>
            <w:r>
              <w:rPr>
                <w:sz w:val="21"/>
              </w:rPr>
              <w:t>5000元</w:t>
            </w:r>
          </w:p>
        </w:tc>
      </w:tr>
      <w:tr>
        <w:tc>
          <w:tcPr>
            <w:tcW w:type="dxa" w:w="806"/>
            <w:vMerge w:val="restart"/>
            <w:tcBorders>
              <w:top w:val="none" w:color="000000" w:sz="4"/>
              <w:left w:val="single" w:color="000000" w:sz="4"/>
              <w:bottom w:val="single" w:color="000000" w:sz="4"/>
              <w:right w:val="single" w:color="000000" w:sz="4"/>
            </w:tcBorders>
            <w:vAlign w:val="top"/>
          </w:tcPr>
          <w:p>
            <w:pPr>
              <w:jc w:val="center"/>
            </w:pPr>
            <w:r>
              <w:rPr>
                <w:sz w:val="21"/>
              </w:rPr>
              <w:t>其他</w:t>
            </w:r>
          </w:p>
        </w:tc>
        <w:tc>
          <w:tcPr>
            <w:tcW w:type="dxa" w:w="69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6801"/>
            <w:tcBorders>
              <w:top w:val="none" w:color="000000" w:sz="4"/>
              <w:left w:val="single" w:color="000000" w:sz="4"/>
              <w:bottom w:val="single" w:color="000000" w:sz="4"/>
              <w:right w:val="single" w:color="000000" w:sz="4"/>
            </w:tcBorders>
            <w:vAlign w:val="top"/>
          </w:tcPr>
          <w:p>
            <w:r>
              <w:rPr>
                <w:sz w:val="21"/>
              </w:rPr>
              <w:t>不按照有关规定进行技术交底就进行施工作业的，每次罚款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6801"/>
            <w:tcBorders>
              <w:top w:val="none" w:color="000000" w:sz="4"/>
              <w:left w:val="single" w:color="000000" w:sz="4"/>
              <w:bottom w:val="single" w:color="000000" w:sz="4"/>
              <w:right w:val="single" w:color="000000" w:sz="4"/>
            </w:tcBorders>
            <w:vAlign w:val="top"/>
          </w:tcPr>
          <w:p>
            <w:r>
              <w:rPr>
                <w:sz w:val="21"/>
              </w:rPr>
              <w:t>上一道工序未经监理人签认就进行下一道工序施工的，每次罚款</w:t>
            </w:r>
            <w:r>
              <w:rPr>
                <w:sz w:val="21"/>
              </w:rPr>
              <w:t>5000元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6801"/>
            <w:tcBorders>
              <w:top w:val="none" w:color="000000" w:sz="4"/>
              <w:left w:val="single" w:color="000000" w:sz="4"/>
              <w:bottom w:val="single" w:color="000000" w:sz="4"/>
              <w:right w:val="single" w:color="000000" w:sz="4"/>
            </w:tcBorders>
            <w:vAlign w:val="top"/>
          </w:tcPr>
          <w:p>
            <w:r>
              <w:rPr>
                <w:sz w:val="21"/>
              </w:rPr>
              <w:t>要求返工的工程未在规定的时间内进行返工或要求清除出施工现场材料未在规定的时间内清除出场的，每延误一天罚</w:t>
            </w:r>
            <w:r>
              <w:rPr>
                <w:sz w:val="21"/>
              </w:rPr>
              <w:t>1000元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6801"/>
            <w:tcBorders>
              <w:top w:val="none" w:color="000000" w:sz="4"/>
              <w:left w:val="single" w:color="000000" w:sz="4"/>
              <w:bottom w:val="single" w:color="000000" w:sz="4"/>
              <w:right w:val="single" w:color="000000" w:sz="4"/>
            </w:tcBorders>
            <w:vAlign w:val="top"/>
          </w:tcPr>
          <w:p>
            <w:r>
              <w:rPr>
                <w:sz w:val="21"/>
              </w:rPr>
              <w:t>水泥、钢筋、钢筋笼等存放不满足要求的，每次罚款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5</w:t>
            </w:r>
          </w:p>
        </w:tc>
        <w:tc>
          <w:tcPr>
            <w:tcW w:type="dxa" w:w="6801"/>
            <w:tcBorders>
              <w:top w:val="none" w:color="000000" w:sz="4"/>
              <w:left w:val="single" w:color="000000" w:sz="4"/>
              <w:bottom w:val="single" w:color="000000" w:sz="4"/>
              <w:right w:val="single" w:color="000000" w:sz="4"/>
            </w:tcBorders>
            <w:vAlign w:val="top"/>
          </w:tcPr>
          <w:p>
            <w:r>
              <w:rPr>
                <w:sz w:val="21"/>
              </w:rPr>
              <w:t>所有桩标须加固保护，树立易于识别的标志，违者每处罚款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6</w:t>
            </w:r>
          </w:p>
        </w:tc>
        <w:tc>
          <w:tcPr>
            <w:tcW w:type="dxa" w:w="6801"/>
            <w:tcBorders>
              <w:top w:val="none" w:color="000000" w:sz="4"/>
              <w:left w:val="single" w:color="000000" w:sz="4"/>
              <w:bottom w:val="single" w:color="000000" w:sz="4"/>
              <w:right w:val="single" w:color="000000" w:sz="4"/>
            </w:tcBorders>
            <w:vAlign w:val="top"/>
          </w:tcPr>
          <w:p>
            <w:r>
              <w:rPr>
                <w:sz w:val="21"/>
              </w:rPr>
              <w:t>实验及检测仪器未标定或标定不合格仍使用的，每次罚款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7</w:t>
            </w:r>
          </w:p>
        </w:tc>
        <w:tc>
          <w:tcPr>
            <w:tcW w:type="dxa" w:w="6801"/>
            <w:tcBorders>
              <w:top w:val="none" w:color="000000" w:sz="4"/>
              <w:left w:val="single" w:color="000000" w:sz="4"/>
              <w:bottom w:val="single" w:color="000000" w:sz="4"/>
              <w:right w:val="single" w:color="000000" w:sz="4"/>
            </w:tcBorders>
            <w:vAlign w:val="top"/>
          </w:tcPr>
          <w:p>
            <w:r>
              <w:rPr>
                <w:sz w:val="21"/>
              </w:rPr>
              <w:t>检验项目、方法、频率，没有按设计或规范要求执行；原材料送检和其它自检项目的试验（如钢筯焊接，土的重击实试验）不及时，频率未达到规定要求，每次罚款</w:t>
            </w:r>
            <w:r>
              <w:rPr>
                <w:sz w:val="21"/>
              </w:rPr>
              <w:t>2000元</w:t>
            </w:r>
          </w:p>
        </w:tc>
      </w:tr>
      <w:tr>
        <w:tc>
          <w:tcPr>
            <w:tcW w:type="dxa" w:w="8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vAlign w:val="top"/>
          </w:tcPr>
          <w:p>
            <w:pPr>
              <w:jc w:val="center"/>
            </w:pPr>
            <w:r>
              <w:rPr>
                <w:sz w:val="21"/>
              </w:rPr>
              <w:t>8</w:t>
            </w:r>
          </w:p>
        </w:tc>
        <w:tc>
          <w:tcPr>
            <w:tcW w:type="dxa" w:w="6801"/>
            <w:tcBorders>
              <w:top w:val="none" w:color="000000" w:sz="4"/>
              <w:left w:val="single" w:color="000000" w:sz="4"/>
              <w:bottom w:val="single" w:color="000000" w:sz="4"/>
              <w:right w:val="single" w:color="000000" w:sz="4"/>
            </w:tcBorders>
            <w:vAlign w:val="top"/>
          </w:tcPr>
          <w:p>
            <w:r>
              <w:rPr>
                <w:sz w:val="21"/>
              </w:rPr>
              <w:t>未经检验合格的材料（原材料、锚具等）用于施工的，每次罚款</w:t>
            </w:r>
            <w:r>
              <w:rPr>
                <w:sz w:val="21"/>
              </w:rPr>
              <w:t>5000元</w:t>
            </w:r>
          </w:p>
        </w:tc>
      </w:tr>
    </w:tbl>
    <w:p>
      <w:r>
        <w:rPr>
          <w:sz w:val="21"/>
        </w:rPr>
        <w:t>备注：</w:t>
      </w:r>
    </w:p>
    <w:p>
      <w:pPr>
        <w:ind w:firstLine="420"/>
      </w:pPr>
      <w:r>
        <w:rPr>
          <w:sz w:val="21"/>
        </w:rPr>
        <w:t>1、承包人在履约期内如果违约，发包人可视承包人违反合同的情况，按《承包人违约金一览表工程质量》、《安全及文明施工处罚项目一览表》约定承包人应当支付违约金的数额或计算方法处以违约金。因承包人违约给发包人造成的其他损失，承包人除应当支付违约金外，还须赔偿因此给发包人造成的实际损失，发包人同时有权终止合同。</w:t>
      </w:r>
    </w:p>
    <w:p>
      <w:pPr>
        <w:ind w:firstLine="420"/>
      </w:pPr>
      <w:r>
        <w:rPr>
          <w:sz w:val="21"/>
        </w:rPr>
        <w:t>2、发包人定期对承包人的合同履行情况进行评价。最终履约评价被评为“不合格”的，发包人将按程序上报有关行政主管部门作不良记录处分，并网上公告。</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445321-2022-01240</w:t>
      </w:r>
    </w:p>
    <w:p>
      <w:pPr>
        <w:jc w:val="center"/>
      </w:pPr>
      <w:r>
        <w:rPr>
          <w:b/>
          <w:sz w:val="24"/>
        </w:rPr>
        <w:t>采购项目编号：</w:t>
      </w:r>
      <w:r>
        <w:rPr>
          <w:b/>
          <w:sz w:val="24"/>
        </w:rPr>
        <w:t>YFZC22GC0077</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广东省云浮市新兴县河头镇中心小学崩塌、滑坡地质灾害治理工程</w:t>
      </w:r>
      <w:r>
        <w:rPr/>
        <w:t>项目的竞争性磋商[采购项目编号为：</w:t>
      </w:r>
      <w:r>
        <w:rPr>
          <w:u w:val="single"/>
        </w:rPr>
        <w:t>YFZC22GC0077</w:t>
      </w:r>
      <w:r>
        <w:rPr/>
        <w:t>]，我方愿参与响应。</w:t>
      </w:r>
    </w:p>
    <w:p>
      <w:pPr>
        <w:ind w:firstLine="480"/>
      </w:pPr>
      <w:r>
        <w:rPr/>
        <w:t>我方确认收到贵方提供的</w:t>
      </w:r>
      <w:r>
        <w:rPr>
          <w:u w:val="single"/>
        </w:rPr>
        <w:t>广东省云浮市新兴县河头镇中心小学崩塌、滑坡地质灾害治理工程</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广东省云浮市新兴县河头镇中心小学崩塌、滑坡地质灾害治理工程</w:t>
      </w:r>
      <w:r>
        <w:rPr/>
        <w:t>项目采购[采购项目编号为</w:t>
      </w:r>
      <w:r>
        <w:rPr/>
        <w:t>YFZC22GC0077</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新兴县自然资源局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广东省云浮市新兴县河头镇中心小学崩塌、滑坡地质灾害治理工程</w:t>
      </w:r>
      <w:r>
        <w:rPr/>
        <w:t>（采购项目编号：</w:t>
      </w:r>
      <w:r>
        <w:rPr/>
        <w:t>YFZC22GC0077</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广东省云浮市新兴县河头镇中心小学崩塌、滑坡地质灾害治理工程</w:t>
      </w:r>
      <w:r>
        <w:rPr/>
        <w:t>项目（采购项目编号：</w:t>
      </w:r>
      <w:r>
        <w:rPr/>
        <w:t>YFZC22GC0077</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